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BE8E" w14:textId="77777777" w:rsidR="00F625A6" w:rsidRDefault="00E83904">
      <w:pPr>
        <w:rPr>
          <w:b/>
          <w:sz w:val="32"/>
          <w:szCs w:val="32"/>
          <w:u w:val="single"/>
        </w:rPr>
      </w:pPr>
      <w:r w:rsidRPr="00E83904">
        <w:rPr>
          <w:b/>
          <w:noProof/>
          <w:lang w:eastAsia="en-CA"/>
        </w:rPr>
        <w:drawing>
          <wp:inline distT="0" distB="0" distL="0" distR="0" wp14:anchorId="1033A799" wp14:editId="28B14A43">
            <wp:extent cx="10896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904">
        <w:rPr>
          <w:b/>
          <w:sz w:val="32"/>
          <w:szCs w:val="32"/>
        </w:rPr>
        <w:tab/>
      </w:r>
      <w:r w:rsidRPr="00E83904">
        <w:rPr>
          <w:b/>
          <w:sz w:val="32"/>
          <w:szCs w:val="32"/>
        </w:rPr>
        <w:tab/>
      </w:r>
      <w:r w:rsidRPr="00E83904">
        <w:rPr>
          <w:b/>
          <w:sz w:val="32"/>
          <w:szCs w:val="32"/>
        </w:rPr>
        <w:tab/>
      </w:r>
      <w:r w:rsidRPr="00E83904">
        <w:rPr>
          <w:b/>
          <w:sz w:val="32"/>
          <w:szCs w:val="32"/>
        </w:rPr>
        <w:tab/>
      </w:r>
      <w:r w:rsidRPr="00E83904">
        <w:rPr>
          <w:b/>
          <w:sz w:val="32"/>
          <w:szCs w:val="32"/>
        </w:rPr>
        <w:tab/>
      </w:r>
      <w:r w:rsidR="00D45413" w:rsidRPr="00D45413">
        <w:rPr>
          <w:b/>
          <w:sz w:val="32"/>
          <w:szCs w:val="32"/>
          <w:u w:val="single"/>
        </w:rPr>
        <w:t>Limited Tendering Award Notice</w:t>
      </w:r>
    </w:p>
    <w:p w14:paraId="09C14CF8" w14:textId="77777777" w:rsidR="00246FF6" w:rsidRPr="00246FF6" w:rsidRDefault="00246FF6">
      <w:pPr>
        <w:rPr>
          <w:b/>
          <w:sz w:val="24"/>
          <w:szCs w:val="24"/>
          <w:u w:val="single"/>
        </w:rPr>
      </w:pPr>
    </w:p>
    <w:p w14:paraId="57B2717A" w14:textId="0E97AE7D" w:rsidR="00D45413" w:rsidRPr="00246FF6" w:rsidRDefault="00F625A6" w:rsidP="001E528A">
      <w:pPr>
        <w:rPr>
          <w:b/>
          <w:sz w:val="24"/>
          <w:szCs w:val="24"/>
        </w:rPr>
      </w:pPr>
      <w:r w:rsidRPr="00246FF6">
        <w:rPr>
          <w:b/>
          <w:sz w:val="24"/>
          <w:szCs w:val="24"/>
        </w:rPr>
        <w:t xml:space="preserve">Award Notice Date: </w:t>
      </w:r>
      <w:r w:rsidR="007566DB" w:rsidRPr="00246FF6">
        <w:rPr>
          <w:sz w:val="24"/>
          <w:szCs w:val="24"/>
        </w:rPr>
        <w:t>1-</w:t>
      </w:r>
      <w:r w:rsidR="00580FD8">
        <w:rPr>
          <w:sz w:val="24"/>
          <w:szCs w:val="24"/>
        </w:rPr>
        <w:t>Aug</w:t>
      </w:r>
      <w:r w:rsidRPr="00246FF6">
        <w:rPr>
          <w:sz w:val="24"/>
          <w:szCs w:val="24"/>
        </w:rPr>
        <w:t>-1</w:t>
      </w:r>
      <w:r w:rsidR="0086341B" w:rsidRPr="00246FF6">
        <w:rPr>
          <w:sz w:val="24"/>
          <w:szCs w:val="24"/>
        </w:rPr>
        <w:t>9</w:t>
      </w:r>
    </w:p>
    <w:p w14:paraId="73B835AD" w14:textId="3EB5F647" w:rsidR="001E528A" w:rsidRPr="00246FF6" w:rsidRDefault="001E528A" w:rsidP="006801BC">
      <w:pPr>
        <w:rPr>
          <w:sz w:val="24"/>
          <w:szCs w:val="24"/>
        </w:rPr>
      </w:pPr>
      <w:r w:rsidRPr="00246FF6">
        <w:rPr>
          <w:b/>
          <w:sz w:val="24"/>
          <w:szCs w:val="24"/>
        </w:rPr>
        <w:t>Award Period</w:t>
      </w:r>
      <w:r w:rsidR="009E382D" w:rsidRPr="00246FF6">
        <w:rPr>
          <w:b/>
          <w:sz w:val="24"/>
          <w:szCs w:val="24"/>
        </w:rPr>
        <w:t xml:space="preserve">: </w:t>
      </w:r>
      <w:r w:rsidR="00580FD8">
        <w:rPr>
          <w:sz w:val="24"/>
          <w:szCs w:val="24"/>
        </w:rPr>
        <w:t>July 1</w:t>
      </w:r>
      <w:r w:rsidR="00DB52C9" w:rsidRPr="00246FF6">
        <w:rPr>
          <w:sz w:val="24"/>
          <w:szCs w:val="24"/>
        </w:rPr>
        <w:t>-1</w:t>
      </w:r>
      <w:r w:rsidR="004B1176" w:rsidRPr="00246FF6">
        <w:rPr>
          <w:sz w:val="24"/>
          <w:szCs w:val="24"/>
        </w:rPr>
        <w:t>9</w:t>
      </w:r>
      <w:r w:rsidR="00DB52C9" w:rsidRPr="00246FF6">
        <w:rPr>
          <w:sz w:val="24"/>
          <w:szCs w:val="24"/>
        </w:rPr>
        <w:t xml:space="preserve"> to </w:t>
      </w:r>
      <w:r w:rsidR="00580FD8">
        <w:rPr>
          <w:sz w:val="24"/>
          <w:szCs w:val="24"/>
        </w:rPr>
        <w:t>July</w:t>
      </w:r>
      <w:r w:rsidR="000C49C1">
        <w:rPr>
          <w:sz w:val="24"/>
          <w:szCs w:val="24"/>
        </w:rPr>
        <w:t xml:space="preserve"> 31</w:t>
      </w:r>
      <w:r w:rsidR="00DB52C9" w:rsidRPr="00246FF6">
        <w:rPr>
          <w:sz w:val="24"/>
          <w:szCs w:val="24"/>
        </w:rPr>
        <w:t>-</w:t>
      </w:r>
      <w:r w:rsidRPr="00246FF6">
        <w:rPr>
          <w:sz w:val="24"/>
          <w:szCs w:val="24"/>
        </w:rPr>
        <w:t>1</w:t>
      </w:r>
      <w:r w:rsidR="004B1176" w:rsidRPr="00246FF6">
        <w:rPr>
          <w:sz w:val="24"/>
          <w:szCs w:val="24"/>
        </w:rPr>
        <w:t>9</w:t>
      </w:r>
    </w:p>
    <w:p w14:paraId="7CF01E50" w14:textId="77777777" w:rsidR="004A461E" w:rsidRPr="00246FF6" w:rsidRDefault="00B40F74" w:rsidP="00246FF6">
      <w:pPr>
        <w:rPr>
          <w:sz w:val="20"/>
          <w:szCs w:val="20"/>
        </w:rPr>
      </w:pPr>
      <w:r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This </w:t>
      </w:r>
      <w:r w:rsidR="00F730AB" w:rsidRPr="00246FF6">
        <w:rPr>
          <w:rFonts w:cs="Helvetica"/>
          <w:color w:val="333333"/>
          <w:sz w:val="20"/>
          <w:szCs w:val="20"/>
          <w:shd w:val="clear" w:color="auto" w:fill="FFFFFF"/>
        </w:rPr>
        <w:t>Limited Tendering Award Notice</w:t>
      </w:r>
      <w:r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 serves to inform the public that </w:t>
      </w:r>
      <w:r w:rsidR="006922DE" w:rsidRPr="00246FF6">
        <w:rPr>
          <w:rFonts w:cs="Helvetica"/>
          <w:color w:val="333333"/>
          <w:sz w:val="20"/>
          <w:szCs w:val="20"/>
          <w:shd w:val="clear" w:color="auto" w:fill="FFFFFF"/>
        </w:rPr>
        <w:t>f</w:t>
      </w:r>
      <w:r w:rsidR="005464B7" w:rsidRPr="00246FF6">
        <w:rPr>
          <w:rFonts w:cs="Helvetica"/>
          <w:color w:val="333333"/>
          <w:sz w:val="20"/>
          <w:szCs w:val="20"/>
          <w:shd w:val="clear" w:color="auto" w:fill="FFFFFF"/>
        </w:rPr>
        <w:t>or the Award Period identified above</w:t>
      </w:r>
      <w:r w:rsidR="006922DE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 t</w:t>
      </w:r>
      <w:r w:rsidR="00F730AB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here </w:t>
      </w:r>
      <w:r w:rsidR="006922DE" w:rsidRPr="00246FF6">
        <w:rPr>
          <w:rFonts w:cs="Helvetica"/>
          <w:color w:val="333333"/>
          <w:sz w:val="20"/>
          <w:szCs w:val="20"/>
          <w:shd w:val="clear" w:color="auto" w:fill="FFFFFF"/>
        </w:rPr>
        <w:t>were</w:t>
      </w:r>
      <w:r w:rsidR="00F730AB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 circumstances where neither</w:t>
      </w:r>
      <w:r w:rsidR="006922DE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 an</w:t>
      </w:r>
      <w:r w:rsidR="00F730AB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 invitational</w:t>
      </w:r>
      <w:r w:rsidR="006922DE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 </w:t>
      </w:r>
      <w:r w:rsidR="00F730AB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or open competitive procurement </w:t>
      </w:r>
      <w:r w:rsidR="006922DE" w:rsidRPr="00246FF6">
        <w:rPr>
          <w:rFonts w:cs="Helvetica"/>
          <w:color w:val="333333"/>
          <w:sz w:val="20"/>
          <w:szCs w:val="20"/>
          <w:shd w:val="clear" w:color="auto" w:fill="FFFFFF"/>
        </w:rPr>
        <w:t>method was possible</w:t>
      </w:r>
      <w:r w:rsidR="00995716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 for the goods or services</w:t>
      </w:r>
      <w:r w:rsidR="002E27A7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 </w:t>
      </w:r>
      <w:r w:rsidR="0042348E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listed </w:t>
      </w:r>
      <w:r w:rsidR="008170C9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below which were </w:t>
      </w:r>
      <w:r w:rsidR="00995716" w:rsidRPr="00246FF6">
        <w:rPr>
          <w:rFonts w:cs="Helvetica"/>
          <w:color w:val="333333"/>
          <w:sz w:val="20"/>
          <w:szCs w:val="20"/>
          <w:shd w:val="clear" w:color="auto" w:fill="FFFFFF"/>
        </w:rPr>
        <w:t>valued at $10</w:t>
      </w:r>
      <w:r w:rsidR="003C1508" w:rsidRPr="00246FF6">
        <w:rPr>
          <w:rFonts w:cs="Helvetica"/>
          <w:color w:val="333333"/>
          <w:sz w:val="20"/>
          <w:szCs w:val="20"/>
          <w:shd w:val="clear" w:color="auto" w:fill="FFFFFF"/>
        </w:rPr>
        <w:t>1</w:t>
      </w:r>
      <w:r w:rsidR="00995716" w:rsidRPr="00246FF6">
        <w:rPr>
          <w:rFonts w:cs="Helvetica"/>
          <w:color w:val="333333"/>
          <w:sz w:val="20"/>
          <w:szCs w:val="20"/>
          <w:shd w:val="clear" w:color="auto" w:fill="FFFFFF"/>
        </w:rPr>
        <w:t>,</w:t>
      </w:r>
      <w:r w:rsidR="003C1508" w:rsidRPr="00246FF6">
        <w:rPr>
          <w:rFonts w:cs="Helvetica"/>
          <w:color w:val="333333"/>
          <w:sz w:val="20"/>
          <w:szCs w:val="20"/>
          <w:shd w:val="clear" w:color="auto" w:fill="FFFFFF"/>
        </w:rPr>
        <w:t>1</w:t>
      </w:r>
      <w:r w:rsidR="00995716" w:rsidRPr="00246FF6">
        <w:rPr>
          <w:rFonts w:cs="Helvetica"/>
          <w:color w:val="333333"/>
          <w:sz w:val="20"/>
          <w:szCs w:val="20"/>
          <w:shd w:val="clear" w:color="auto" w:fill="FFFFFF"/>
        </w:rPr>
        <w:t>00 or greater</w:t>
      </w:r>
      <w:r w:rsidR="004D3005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. McMaster University permits non-competitive procurement </w:t>
      </w:r>
      <w:r w:rsidR="00F730AB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provided it meets the criteria in a Limited Tendering (including Sole or Single Source) Exception or Non-Application </w:t>
      </w:r>
      <w:r w:rsidR="00BE4B8B" w:rsidRPr="00246FF6">
        <w:rPr>
          <w:rFonts w:cs="Helvetica"/>
          <w:color w:val="333333"/>
          <w:sz w:val="20"/>
          <w:szCs w:val="20"/>
          <w:shd w:val="clear" w:color="auto" w:fill="FFFFFF"/>
        </w:rPr>
        <w:t>p</w:t>
      </w:r>
      <w:r w:rsidR="00F730AB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rovision of the </w:t>
      </w:r>
      <w:r w:rsidR="004D3005" w:rsidRPr="00246FF6">
        <w:rPr>
          <w:rFonts w:cs="Helvetica"/>
          <w:color w:val="333333"/>
          <w:sz w:val="20"/>
          <w:szCs w:val="20"/>
          <w:shd w:val="clear" w:color="auto" w:fill="FFFFFF"/>
        </w:rPr>
        <w:t>applicable trade agreements, including the Canadian Free Trade Agreement (</w:t>
      </w:r>
      <w:r w:rsidR="00F730AB" w:rsidRPr="00246FF6">
        <w:rPr>
          <w:rFonts w:cs="Helvetica"/>
          <w:color w:val="333333"/>
          <w:sz w:val="20"/>
          <w:szCs w:val="20"/>
          <w:shd w:val="clear" w:color="auto" w:fill="FFFFFF"/>
        </w:rPr>
        <w:t>CFTA</w:t>
      </w:r>
      <w:r w:rsidR="004D3005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): </w:t>
      </w:r>
      <w:hyperlink r:id="rId9" w:history="1">
        <w:r w:rsidR="004D3005" w:rsidRPr="00246FF6">
          <w:rPr>
            <w:rStyle w:val="Hyperlink"/>
            <w:sz w:val="20"/>
            <w:szCs w:val="20"/>
          </w:rPr>
          <w:t>https://www.cfta-alec.ca/canadian-free-trade-agreement/</w:t>
        </w:r>
      </w:hyperlink>
      <w:r w:rsidR="004D3005" w:rsidRPr="00246FF6">
        <w:rPr>
          <w:rStyle w:val="Hyperlink"/>
          <w:color w:val="auto"/>
          <w:sz w:val="20"/>
          <w:szCs w:val="20"/>
          <w:u w:val="none"/>
        </w:rPr>
        <w:t>,</w:t>
      </w:r>
      <w:r w:rsidR="004D3005" w:rsidRPr="00246FF6">
        <w:rPr>
          <w:rFonts w:cs="Helvetica"/>
          <w:sz w:val="20"/>
          <w:szCs w:val="20"/>
          <w:shd w:val="clear" w:color="auto" w:fill="FFFFFF"/>
        </w:rPr>
        <w:t xml:space="preserve"> </w:t>
      </w:r>
      <w:r w:rsidR="004D3005" w:rsidRPr="00246FF6">
        <w:rPr>
          <w:rFonts w:cs="Helvetica"/>
          <w:color w:val="333333"/>
          <w:sz w:val="20"/>
          <w:szCs w:val="20"/>
          <w:shd w:val="clear" w:color="auto" w:fill="FFFFFF"/>
        </w:rPr>
        <w:t>and Canada</w:t>
      </w:r>
      <w:r w:rsidR="00DC3A44" w:rsidRPr="00246FF6">
        <w:rPr>
          <w:rFonts w:cs="Helvetica"/>
          <w:color w:val="333333"/>
          <w:sz w:val="20"/>
          <w:szCs w:val="20"/>
          <w:shd w:val="clear" w:color="auto" w:fill="FFFFFF"/>
        </w:rPr>
        <w:t>-European Union Comprehensive Economic and Trade Agreement</w:t>
      </w:r>
      <w:r w:rsidR="00F730AB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 </w:t>
      </w:r>
      <w:r w:rsidR="004D3005" w:rsidRPr="00246FF6">
        <w:rPr>
          <w:rFonts w:cs="Helvetica"/>
          <w:color w:val="333333"/>
          <w:sz w:val="20"/>
          <w:szCs w:val="20"/>
          <w:shd w:val="clear" w:color="auto" w:fill="FFFFFF"/>
        </w:rPr>
        <w:t>(</w:t>
      </w:r>
      <w:r w:rsidR="00F730AB" w:rsidRPr="00246FF6">
        <w:rPr>
          <w:rFonts w:cs="Helvetica"/>
          <w:color w:val="333333"/>
          <w:sz w:val="20"/>
          <w:szCs w:val="20"/>
          <w:shd w:val="clear" w:color="auto" w:fill="FFFFFF"/>
        </w:rPr>
        <w:t>CETA</w:t>
      </w:r>
      <w:r w:rsidR="004D3005" w:rsidRPr="00246FF6">
        <w:rPr>
          <w:rFonts w:cs="Helvetica"/>
          <w:color w:val="333333"/>
          <w:sz w:val="20"/>
          <w:szCs w:val="20"/>
          <w:shd w:val="clear" w:color="auto" w:fill="FFFFFF"/>
        </w:rPr>
        <w:t xml:space="preserve">): </w:t>
      </w:r>
      <w:hyperlink r:id="rId10" w:history="1">
        <w:r w:rsidR="004D3005" w:rsidRPr="00246FF6">
          <w:rPr>
            <w:rStyle w:val="Hyperlink"/>
            <w:sz w:val="20"/>
            <w:szCs w:val="20"/>
          </w:rPr>
          <w:t>http://www.international.gc.ca/gac-amc/campaign-campagne/ceta-aecg/index.aspx?lang=eng</w:t>
        </w:r>
      </w:hyperlink>
      <w:r w:rsidR="004D3005" w:rsidRPr="00246FF6">
        <w:rPr>
          <w:rFonts w:cs="Helvetica"/>
          <w:sz w:val="20"/>
          <w:szCs w:val="20"/>
          <w:shd w:val="clear" w:color="auto" w:fill="FFFFFF"/>
        </w:rPr>
        <w:t>.</w:t>
      </w:r>
      <w:r w:rsidR="00F730AB" w:rsidRPr="00246FF6">
        <w:rPr>
          <w:rFonts w:cs="Helvetica"/>
          <w:color w:val="333333"/>
          <w:sz w:val="20"/>
          <w:szCs w:val="20"/>
          <w:shd w:val="clear" w:color="auto" w:fill="FFFFFF"/>
        </w:rPr>
        <w:t> 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0"/>
        <w:gridCol w:w="2835"/>
        <w:gridCol w:w="1531"/>
        <w:gridCol w:w="1276"/>
        <w:gridCol w:w="5698"/>
      </w:tblGrid>
      <w:tr w:rsidR="00F625A6" w:rsidRPr="0082722D" w14:paraId="03F920AF" w14:textId="77777777" w:rsidTr="00246FF6">
        <w:trPr>
          <w:trHeight w:val="9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2C7D5A1" w14:textId="77777777" w:rsidR="00F625A6" w:rsidRPr="0082722D" w:rsidRDefault="00F625A6" w:rsidP="007A6E0C">
            <w:pPr>
              <w:jc w:val="center"/>
              <w:rPr>
                <w:b/>
                <w:sz w:val="24"/>
                <w:szCs w:val="24"/>
              </w:rPr>
            </w:pPr>
            <w:r w:rsidRPr="0082722D">
              <w:rPr>
                <w:b/>
                <w:sz w:val="24"/>
                <w:szCs w:val="24"/>
              </w:rPr>
              <w:t>Goods or Services Procured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75B50FC" w14:textId="77777777" w:rsidR="00F625A6" w:rsidRPr="0082722D" w:rsidRDefault="00F625A6" w:rsidP="007A6E0C">
            <w:pPr>
              <w:jc w:val="center"/>
              <w:rPr>
                <w:b/>
                <w:sz w:val="24"/>
                <w:szCs w:val="24"/>
              </w:rPr>
            </w:pPr>
            <w:r w:rsidRPr="0082722D">
              <w:rPr>
                <w:b/>
                <w:sz w:val="24"/>
                <w:szCs w:val="24"/>
              </w:rPr>
              <w:t>Successful</w:t>
            </w:r>
          </w:p>
          <w:p w14:paraId="353EC909" w14:textId="77777777" w:rsidR="00F625A6" w:rsidRPr="0082722D" w:rsidRDefault="00F625A6" w:rsidP="007A6E0C">
            <w:pPr>
              <w:jc w:val="center"/>
              <w:rPr>
                <w:b/>
                <w:sz w:val="24"/>
                <w:szCs w:val="24"/>
              </w:rPr>
            </w:pPr>
            <w:r w:rsidRPr="0082722D">
              <w:rPr>
                <w:b/>
                <w:sz w:val="24"/>
                <w:szCs w:val="24"/>
              </w:rPr>
              <w:t>Supplier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44B330EA" w14:textId="77777777" w:rsidR="00F625A6" w:rsidRPr="0082722D" w:rsidRDefault="00F625A6" w:rsidP="007A6E0C">
            <w:pPr>
              <w:jc w:val="center"/>
              <w:rPr>
                <w:b/>
                <w:sz w:val="24"/>
                <w:szCs w:val="24"/>
              </w:rPr>
            </w:pPr>
            <w:r w:rsidRPr="0082722D">
              <w:rPr>
                <w:b/>
                <w:sz w:val="24"/>
                <w:szCs w:val="24"/>
              </w:rPr>
              <w:t>Value of Tender (before taxes)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686843" w14:textId="77777777" w:rsidR="00F625A6" w:rsidRPr="0082722D" w:rsidRDefault="00F625A6" w:rsidP="007A6E0C">
            <w:pPr>
              <w:jc w:val="center"/>
              <w:rPr>
                <w:b/>
                <w:sz w:val="24"/>
                <w:szCs w:val="24"/>
              </w:rPr>
            </w:pPr>
            <w:r w:rsidRPr="0082722D">
              <w:rPr>
                <w:b/>
                <w:sz w:val="24"/>
                <w:szCs w:val="24"/>
              </w:rPr>
              <w:t>Award Date</w:t>
            </w:r>
          </w:p>
        </w:tc>
        <w:tc>
          <w:tcPr>
            <w:tcW w:w="5698" w:type="dxa"/>
            <w:shd w:val="clear" w:color="auto" w:fill="D9D9D9" w:themeFill="background1" w:themeFillShade="D9"/>
            <w:vAlign w:val="center"/>
          </w:tcPr>
          <w:p w14:paraId="2574915B" w14:textId="77777777" w:rsidR="00F625A6" w:rsidRPr="0082722D" w:rsidRDefault="00F625A6" w:rsidP="007A6E0C">
            <w:pPr>
              <w:jc w:val="center"/>
              <w:rPr>
                <w:b/>
                <w:sz w:val="24"/>
                <w:szCs w:val="24"/>
              </w:rPr>
            </w:pPr>
            <w:r w:rsidRPr="0082722D">
              <w:rPr>
                <w:b/>
                <w:sz w:val="24"/>
                <w:szCs w:val="24"/>
              </w:rPr>
              <w:t>Limited Tendering Justification</w:t>
            </w:r>
          </w:p>
        </w:tc>
      </w:tr>
      <w:tr w:rsidR="008A7F88" w:rsidRPr="003A72CE" w14:paraId="6AB8ACB5" w14:textId="77777777" w:rsidTr="008A7F88">
        <w:tc>
          <w:tcPr>
            <w:tcW w:w="2830" w:type="dxa"/>
            <w:vAlign w:val="center"/>
          </w:tcPr>
          <w:p w14:paraId="07679E23" w14:textId="2504C972" w:rsidR="008A7F88" w:rsidRPr="00024059" w:rsidRDefault="008A7F88" w:rsidP="008A7F88">
            <w:pPr>
              <w:jc w:val="center"/>
              <w:rPr>
                <w:sz w:val="20"/>
                <w:szCs w:val="20"/>
              </w:rPr>
            </w:pPr>
            <w:r w:rsidRPr="00024059">
              <w:rPr>
                <w:sz w:val="20"/>
                <w:szCs w:val="20"/>
              </w:rPr>
              <w:t>AV supplies for temporary classroom functionality</w:t>
            </w:r>
          </w:p>
        </w:tc>
        <w:tc>
          <w:tcPr>
            <w:tcW w:w="2835" w:type="dxa"/>
            <w:vAlign w:val="center"/>
          </w:tcPr>
          <w:p w14:paraId="30FF68F2" w14:textId="77777777" w:rsidR="008A7F88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  <w:p w14:paraId="43B0D5FB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Hamilton Video &amp; Sound</w:t>
            </w:r>
          </w:p>
          <w:p w14:paraId="720DE788" w14:textId="1F53FFA3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125 Cascade St.</w:t>
            </w:r>
          </w:p>
          <w:p w14:paraId="1A783515" w14:textId="6033F6AD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Hamilton </w:t>
            </w:r>
            <w:r w:rsidRPr="00024059">
              <w:rPr>
                <w:rFonts w:eastAsia="Arial Unicode MS" w:cs="Arial Unicode MS"/>
                <w:sz w:val="20"/>
                <w:szCs w:val="20"/>
              </w:rPr>
              <w:t>, ON  L8E 3B7</w:t>
            </w:r>
          </w:p>
          <w:p w14:paraId="1E0B4269" w14:textId="77777777" w:rsidR="008A7F88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Canada</w:t>
            </w:r>
          </w:p>
          <w:p w14:paraId="2D2A5FE9" w14:textId="10993708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DAE3427" w14:textId="60E0DD8F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$104,769.790</w:t>
            </w:r>
          </w:p>
        </w:tc>
        <w:tc>
          <w:tcPr>
            <w:tcW w:w="1276" w:type="dxa"/>
            <w:vAlign w:val="center"/>
          </w:tcPr>
          <w:p w14:paraId="2F139316" w14:textId="2DA0A4DF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17/07/2019</w:t>
            </w:r>
          </w:p>
        </w:tc>
        <w:tc>
          <w:tcPr>
            <w:tcW w:w="5698" w:type="dxa"/>
            <w:vAlign w:val="center"/>
          </w:tcPr>
          <w:p w14:paraId="1CFE8172" w14:textId="06E1C466" w:rsidR="008A7F88" w:rsidRPr="00024059" w:rsidRDefault="008A7F88" w:rsidP="008D5454">
            <w:pPr>
              <w:rPr>
                <w:sz w:val="20"/>
                <w:szCs w:val="20"/>
              </w:rPr>
            </w:pPr>
            <w:r w:rsidRPr="00024059">
              <w:rPr>
                <w:sz w:val="20"/>
                <w:szCs w:val="20"/>
              </w:rPr>
              <w:t xml:space="preserve">Was strictly necessary, by events unforeseeable services could not be obtained in time using open tendering. </w:t>
            </w:r>
          </w:p>
        </w:tc>
      </w:tr>
      <w:tr w:rsidR="008A7F88" w:rsidRPr="003A72CE" w14:paraId="37B3924F" w14:textId="77777777" w:rsidTr="008A7F88">
        <w:tc>
          <w:tcPr>
            <w:tcW w:w="2830" w:type="dxa"/>
            <w:vAlign w:val="center"/>
          </w:tcPr>
          <w:p w14:paraId="6DCFD5E2" w14:textId="77777777" w:rsidR="008A7F88" w:rsidRPr="00024059" w:rsidRDefault="008A7F88" w:rsidP="008A7F88">
            <w:pPr>
              <w:jc w:val="center"/>
              <w:rPr>
                <w:sz w:val="20"/>
                <w:szCs w:val="20"/>
              </w:rPr>
            </w:pPr>
            <w:r w:rsidRPr="00024059">
              <w:rPr>
                <w:sz w:val="20"/>
                <w:szCs w:val="20"/>
              </w:rPr>
              <w:t>Multifors 2 Chemostat</w:t>
            </w:r>
          </w:p>
          <w:p w14:paraId="5F6BC4F0" w14:textId="594D4080" w:rsidR="008A7F88" w:rsidRPr="00024059" w:rsidRDefault="008A7F88" w:rsidP="008A7F88">
            <w:pPr>
              <w:jc w:val="center"/>
              <w:rPr>
                <w:sz w:val="20"/>
                <w:szCs w:val="20"/>
              </w:rPr>
            </w:pPr>
            <w:r w:rsidRPr="00024059">
              <w:rPr>
                <w:sz w:val="20"/>
                <w:szCs w:val="20"/>
              </w:rPr>
              <w:t>(4x0.4L)</w:t>
            </w:r>
          </w:p>
        </w:tc>
        <w:tc>
          <w:tcPr>
            <w:tcW w:w="2835" w:type="dxa"/>
            <w:vAlign w:val="center"/>
          </w:tcPr>
          <w:p w14:paraId="6679D542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  <w:p w14:paraId="6AF7257B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INFORS CANADA INC</w:t>
            </w:r>
          </w:p>
          <w:p w14:paraId="2665DE17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8350 Rue Bombardier Est</w:t>
            </w:r>
          </w:p>
          <w:p w14:paraId="2D05DC51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Anjou, QC  H1J 1A6</w:t>
            </w:r>
          </w:p>
          <w:p w14:paraId="54E1DF99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Canada</w:t>
            </w:r>
          </w:p>
          <w:p w14:paraId="784BD80E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  <w:p w14:paraId="446F1B81" w14:textId="03B06304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7F086A" w14:textId="466B7FC5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$112,939.990</w:t>
            </w:r>
          </w:p>
        </w:tc>
        <w:tc>
          <w:tcPr>
            <w:tcW w:w="1276" w:type="dxa"/>
            <w:vAlign w:val="center"/>
          </w:tcPr>
          <w:p w14:paraId="2572C192" w14:textId="2E7F220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29/07/2019</w:t>
            </w:r>
          </w:p>
        </w:tc>
        <w:tc>
          <w:tcPr>
            <w:tcW w:w="5698" w:type="dxa"/>
            <w:vAlign w:val="center"/>
          </w:tcPr>
          <w:p w14:paraId="3ADC7CFC" w14:textId="569A2A27" w:rsidR="008A7F88" w:rsidRPr="00024059" w:rsidRDefault="008A7F88" w:rsidP="008D5454">
            <w:pPr>
              <w:rPr>
                <w:sz w:val="20"/>
                <w:szCs w:val="20"/>
              </w:rPr>
            </w:pPr>
            <w:r w:rsidRPr="008D5454">
              <w:rPr>
                <w:sz w:val="20"/>
                <w:szCs w:val="20"/>
              </w:rPr>
              <w:t>The services can be supplied only by this particular supplier and no reasonable alternative or substitute services exist for any of the following reasons</w:t>
            </w:r>
            <w:r>
              <w:rPr>
                <w:sz w:val="20"/>
                <w:szCs w:val="20"/>
              </w:rPr>
              <w:t>: to ensure compatibility with existing goods or to maintain specialized goods that must be maintained by the manufacturer of those goods or its representative.</w:t>
            </w:r>
          </w:p>
        </w:tc>
      </w:tr>
      <w:tr w:rsidR="008A7F88" w:rsidRPr="003A72CE" w14:paraId="0E68B0F5" w14:textId="77777777" w:rsidTr="008A7F88">
        <w:tc>
          <w:tcPr>
            <w:tcW w:w="2830" w:type="dxa"/>
            <w:vAlign w:val="center"/>
          </w:tcPr>
          <w:p w14:paraId="1D1B6387" w14:textId="62D37051" w:rsidR="008A7F88" w:rsidRPr="00024059" w:rsidRDefault="008A7F88" w:rsidP="008A7F88">
            <w:pPr>
              <w:jc w:val="center"/>
              <w:rPr>
                <w:sz w:val="20"/>
                <w:szCs w:val="20"/>
              </w:rPr>
            </w:pPr>
            <w:r w:rsidRPr="00024059">
              <w:rPr>
                <w:sz w:val="20"/>
                <w:szCs w:val="20"/>
              </w:rPr>
              <w:t>Online constituent engagement management SAS</w:t>
            </w:r>
          </w:p>
        </w:tc>
        <w:tc>
          <w:tcPr>
            <w:tcW w:w="2835" w:type="dxa"/>
            <w:vAlign w:val="center"/>
          </w:tcPr>
          <w:p w14:paraId="6E570E3D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Modules Software Inc.</w:t>
            </w:r>
          </w:p>
          <w:p w14:paraId="1CCA271C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8330 Ward Pkwy 5th Flr.</w:t>
            </w:r>
          </w:p>
          <w:p w14:paraId="124B14B2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Kansas City, MO</w:t>
            </w:r>
          </w:p>
          <w:p w14:paraId="3EC5F4E1" w14:textId="6565BAFE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64114 USA</w:t>
            </w:r>
          </w:p>
        </w:tc>
        <w:tc>
          <w:tcPr>
            <w:tcW w:w="1531" w:type="dxa"/>
            <w:vAlign w:val="center"/>
          </w:tcPr>
          <w:p w14:paraId="4B50367A" w14:textId="099129CC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$194,062.090</w:t>
            </w:r>
          </w:p>
        </w:tc>
        <w:tc>
          <w:tcPr>
            <w:tcW w:w="1276" w:type="dxa"/>
            <w:vAlign w:val="center"/>
          </w:tcPr>
          <w:p w14:paraId="5F46BEE2" w14:textId="297A63A2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03/07/2019</w:t>
            </w:r>
          </w:p>
        </w:tc>
        <w:tc>
          <w:tcPr>
            <w:tcW w:w="5698" w:type="dxa"/>
            <w:vAlign w:val="center"/>
          </w:tcPr>
          <w:p w14:paraId="21CBDAB7" w14:textId="77777777" w:rsidR="008A7F88" w:rsidRDefault="008A7F88" w:rsidP="002C69EF">
            <w:pPr>
              <w:rPr>
                <w:sz w:val="20"/>
                <w:szCs w:val="20"/>
              </w:rPr>
            </w:pPr>
          </w:p>
          <w:p w14:paraId="24925D1F" w14:textId="5E47F746" w:rsidR="008A7F88" w:rsidRDefault="008A7F88" w:rsidP="002C69EF">
            <w:pPr>
              <w:rPr>
                <w:sz w:val="20"/>
                <w:szCs w:val="20"/>
              </w:rPr>
            </w:pPr>
            <w:r w:rsidRPr="006534BC">
              <w:rPr>
                <w:sz w:val="20"/>
                <w:szCs w:val="20"/>
              </w:rPr>
              <w:t>The services can be supplied only by this particular supplier and no reasonable alternative or substitute services exist for any of the following reasons: to ensure compatibility with existing goods or to maintain specialized goods that must be maintained by the manufacturer of those goods or its representative.</w:t>
            </w:r>
          </w:p>
          <w:p w14:paraId="3929A9ED" w14:textId="428A3EDF" w:rsidR="008A7F88" w:rsidRPr="00024059" w:rsidRDefault="008A7F88" w:rsidP="002C69EF">
            <w:pPr>
              <w:rPr>
                <w:sz w:val="20"/>
                <w:szCs w:val="20"/>
              </w:rPr>
            </w:pPr>
          </w:p>
        </w:tc>
      </w:tr>
      <w:tr w:rsidR="008A7F88" w:rsidRPr="003A72CE" w14:paraId="55ACEC9D" w14:textId="77777777" w:rsidTr="008A7F88">
        <w:trPr>
          <w:trHeight w:val="1890"/>
        </w:trPr>
        <w:tc>
          <w:tcPr>
            <w:tcW w:w="2830" w:type="dxa"/>
            <w:vAlign w:val="center"/>
          </w:tcPr>
          <w:p w14:paraId="615961E5" w14:textId="5B0FAC10" w:rsidR="008A7F88" w:rsidRPr="00024059" w:rsidRDefault="008A7F88" w:rsidP="008A7F88">
            <w:pPr>
              <w:jc w:val="center"/>
              <w:rPr>
                <w:sz w:val="20"/>
                <w:szCs w:val="20"/>
              </w:rPr>
            </w:pPr>
            <w:proofErr w:type="spellStart"/>
            <w:r w:rsidRPr="00024059">
              <w:rPr>
                <w:sz w:val="20"/>
                <w:szCs w:val="20"/>
              </w:rPr>
              <w:t>TouchNet</w:t>
            </w:r>
            <w:proofErr w:type="spellEnd"/>
            <w:r w:rsidRPr="00024059">
              <w:rPr>
                <w:sz w:val="20"/>
                <w:szCs w:val="20"/>
              </w:rPr>
              <w:t xml:space="preserve"> One Card</w:t>
            </w:r>
          </w:p>
        </w:tc>
        <w:tc>
          <w:tcPr>
            <w:tcW w:w="2835" w:type="dxa"/>
            <w:vAlign w:val="center"/>
          </w:tcPr>
          <w:p w14:paraId="53AED479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  <w:p w14:paraId="751A1A51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  <w:p w14:paraId="05709901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  <w:p w14:paraId="4BAA6D57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Heartland Campus Solutions</w:t>
            </w:r>
          </w:p>
          <w:p w14:paraId="6431825D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ONE Heartland Way</w:t>
            </w:r>
          </w:p>
          <w:p w14:paraId="5A6308DE" w14:textId="68DB270B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Jeffersonville, IN</w:t>
            </w:r>
          </w:p>
          <w:p w14:paraId="245819BF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47130  USA</w:t>
            </w:r>
          </w:p>
          <w:p w14:paraId="62E079D8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  <w:p w14:paraId="3D0D858D" w14:textId="6F9F7740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4AC959A0" w14:textId="559A882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$200,414.380</w:t>
            </w:r>
          </w:p>
        </w:tc>
        <w:tc>
          <w:tcPr>
            <w:tcW w:w="1276" w:type="dxa"/>
            <w:vAlign w:val="center"/>
          </w:tcPr>
          <w:p w14:paraId="29801C14" w14:textId="7C3CEDAE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04/07/2019</w:t>
            </w:r>
          </w:p>
        </w:tc>
        <w:tc>
          <w:tcPr>
            <w:tcW w:w="5698" w:type="dxa"/>
            <w:vAlign w:val="center"/>
          </w:tcPr>
          <w:p w14:paraId="32C1F3A6" w14:textId="1AE609BA" w:rsidR="008A7F88" w:rsidRPr="00024059" w:rsidRDefault="008A7F88" w:rsidP="009B1126">
            <w:pPr>
              <w:rPr>
                <w:sz w:val="20"/>
                <w:szCs w:val="20"/>
              </w:rPr>
            </w:pPr>
            <w:r w:rsidRPr="006534BC">
              <w:rPr>
                <w:sz w:val="20"/>
                <w:szCs w:val="20"/>
              </w:rPr>
              <w:t>The services can be supplied only by this particular supplier and no reasonable alternative or substitute services exist for any of the following reasons: to ensure compatibility with existing goods or to maintain specialized goods that must be maintained by the manufacturer of those goods or its representative.</w:t>
            </w:r>
          </w:p>
        </w:tc>
      </w:tr>
      <w:tr w:rsidR="008A7F88" w:rsidRPr="003A72CE" w14:paraId="72A98A89" w14:textId="77777777" w:rsidTr="008A7F88">
        <w:trPr>
          <w:trHeight w:val="1725"/>
        </w:trPr>
        <w:tc>
          <w:tcPr>
            <w:tcW w:w="2830" w:type="dxa"/>
            <w:vAlign w:val="center"/>
          </w:tcPr>
          <w:p w14:paraId="65FE1D8C" w14:textId="2ABAFDE5" w:rsidR="008A7F88" w:rsidRPr="00024059" w:rsidRDefault="008A7F88" w:rsidP="008A7F88">
            <w:pPr>
              <w:jc w:val="center"/>
              <w:rPr>
                <w:sz w:val="20"/>
                <w:szCs w:val="20"/>
              </w:rPr>
            </w:pPr>
            <w:r w:rsidRPr="00024059">
              <w:rPr>
                <w:sz w:val="20"/>
                <w:szCs w:val="20"/>
              </w:rPr>
              <w:t>Multicomponent Dynamometers, Amplifiers, Mounting Attachments</w:t>
            </w:r>
          </w:p>
        </w:tc>
        <w:tc>
          <w:tcPr>
            <w:tcW w:w="2835" w:type="dxa"/>
            <w:vAlign w:val="center"/>
          </w:tcPr>
          <w:p w14:paraId="62AAF5AF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Kistler Instruments Corp.</w:t>
            </w:r>
          </w:p>
          <w:p w14:paraId="53A01CF4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75 John Glenn DR</w:t>
            </w:r>
          </w:p>
          <w:p w14:paraId="4083A970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Amherst, NY</w:t>
            </w:r>
          </w:p>
          <w:p w14:paraId="60C06DE2" w14:textId="1607FDA4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14228-2171  USA</w:t>
            </w:r>
          </w:p>
        </w:tc>
        <w:tc>
          <w:tcPr>
            <w:tcW w:w="1531" w:type="dxa"/>
            <w:vAlign w:val="center"/>
          </w:tcPr>
          <w:p w14:paraId="514451C4" w14:textId="741B874D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$236,400.250</w:t>
            </w:r>
          </w:p>
        </w:tc>
        <w:tc>
          <w:tcPr>
            <w:tcW w:w="1276" w:type="dxa"/>
            <w:vAlign w:val="center"/>
          </w:tcPr>
          <w:p w14:paraId="45019DCD" w14:textId="495AB834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30/07/2019</w:t>
            </w:r>
          </w:p>
        </w:tc>
        <w:tc>
          <w:tcPr>
            <w:tcW w:w="5698" w:type="dxa"/>
            <w:vAlign w:val="center"/>
          </w:tcPr>
          <w:p w14:paraId="6A0F93E4" w14:textId="2B1C334D" w:rsidR="008A7F88" w:rsidRPr="00024059" w:rsidRDefault="008A7F88" w:rsidP="00F264C9">
            <w:pPr>
              <w:rPr>
                <w:sz w:val="20"/>
                <w:szCs w:val="20"/>
              </w:rPr>
            </w:pPr>
            <w:r w:rsidRPr="006534BC">
              <w:rPr>
                <w:sz w:val="20"/>
                <w:szCs w:val="20"/>
              </w:rPr>
              <w:t>The services can be supplied only by this particular supplier and no reasonable alternative or substitute services exist for any of the following reasons: to ensure compatibility with existing goods or to maintain specialized goods that must be maintained by the manufacturer of those goods or its representative.</w:t>
            </w:r>
          </w:p>
        </w:tc>
      </w:tr>
      <w:tr w:rsidR="008A7F88" w:rsidRPr="003A72CE" w14:paraId="5FA3C8E8" w14:textId="77777777" w:rsidTr="008A7F88">
        <w:tc>
          <w:tcPr>
            <w:tcW w:w="2830" w:type="dxa"/>
            <w:vAlign w:val="center"/>
          </w:tcPr>
          <w:p w14:paraId="6D349B82" w14:textId="7679EB03" w:rsidR="008A7F88" w:rsidRPr="00024059" w:rsidRDefault="008A7F88" w:rsidP="008A7F88">
            <w:pPr>
              <w:jc w:val="center"/>
              <w:rPr>
                <w:sz w:val="20"/>
                <w:szCs w:val="20"/>
              </w:rPr>
            </w:pPr>
            <w:r w:rsidRPr="00024059">
              <w:rPr>
                <w:sz w:val="20"/>
                <w:szCs w:val="20"/>
              </w:rPr>
              <w:t>CytoFlex Lx</w:t>
            </w:r>
          </w:p>
        </w:tc>
        <w:tc>
          <w:tcPr>
            <w:tcW w:w="2835" w:type="dxa"/>
            <w:vAlign w:val="center"/>
          </w:tcPr>
          <w:p w14:paraId="47C1A166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Beckman Coulter Canada LP</w:t>
            </w:r>
          </w:p>
          <w:p w14:paraId="163EC03E" w14:textId="6A5990FB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7075 Financial Dr, Mississauga ON L5N 6V8</w:t>
            </w:r>
          </w:p>
        </w:tc>
        <w:tc>
          <w:tcPr>
            <w:tcW w:w="1531" w:type="dxa"/>
            <w:vAlign w:val="center"/>
          </w:tcPr>
          <w:p w14:paraId="0061C14D" w14:textId="0D5DD870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$555,840.140</w:t>
            </w:r>
          </w:p>
        </w:tc>
        <w:tc>
          <w:tcPr>
            <w:tcW w:w="1276" w:type="dxa"/>
            <w:vAlign w:val="center"/>
          </w:tcPr>
          <w:p w14:paraId="414151FB" w14:textId="42ED913A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22/07/2019</w:t>
            </w:r>
          </w:p>
        </w:tc>
        <w:tc>
          <w:tcPr>
            <w:tcW w:w="5698" w:type="dxa"/>
            <w:vAlign w:val="center"/>
          </w:tcPr>
          <w:p w14:paraId="1410F030" w14:textId="77777777" w:rsidR="008A7F88" w:rsidRDefault="008A7F88" w:rsidP="00785E08">
            <w:pPr>
              <w:rPr>
                <w:sz w:val="20"/>
                <w:szCs w:val="20"/>
              </w:rPr>
            </w:pPr>
          </w:p>
          <w:p w14:paraId="5169EB99" w14:textId="77777777" w:rsidR="008A7F88" w:rsidRDefault="008A7F88" w:rsidP="00785E08">
            <w:pPr>
              <w:rPr>
                <w:sz w:val="20"/>
                <w:szCs w:val="20"/>
              </w:rPr>
            </w:pPr>
            <w:r w:rsidRPr="006534BC">
              <w:rPr>
                <w:sz w:val="20"/>
                <w:szCs w:val="20"/>
              </w:rPr>
              <w:t xml:space="preserve">The services can be supplied only by this particular supplier and no reasonable alternative or substitute services exist for any of the following reasons: </w:t>
            </w:r>
            <w:r>
              <w:rPr>
                <w:sz w:val="20"/>
                <w:szCs w:val="20"/>
              </w:rPr>
              <w:t>due to an absence of competition for technical reasons.</w:t>
            </w:r>
          </w:p>
          <w:p w14:paraId="01F2EE12" w14:textId="415556DF" w:rsidR="008A7F88" w:rsidRPr="00024059" w:rsidRDefault="008A7F88" w:rsidP="00785E08">
            <w:pPr>
              <w:rPr>
                <w:sz w:val="20"/>
                <w:szCs w:val="20"/>
              </w:rPr>
            </w:pPr>
          </w:p>
        </w:tc>
      </w:tr>
      <w:tr w:rsidR="008A7F88" w:rsidRPr="003A72CE" w14:paraId="6591DC82" w14:textId="77777777" w:rsidTr="008A7F88">
        <w:tc>
          <w:tcPr>
            <w:tcW w:w="2830" w:type="dxa"/>
            <w:vAlign w:val="center"/>
          </w:tcPr>
          <w:p w14:paraId="295F581B" w14:textId="50B7E9AD" w:rsidR="008A7F88" w:rsidRPr="00024059" w:rsidRDefault="008A7F88" w:rsidP="008A7F88">
            <w:pPr>
              <w:jc w:val="center"/>
              <w:rPr>
                <w:sz w:val="20"/>
                <w:szCs w:val="20"/>
              </w:rPr>
            </w:pPr>
            <w:r w:rsidRPr="00024059">
              <w:rPr>
                <w:sz w:val="20"/>
                <w:szCs w:val="20"/>
              </w:rPr>
              <w:t>Fresh fuel for Nuclear Reactor</w:t>
            </w:r>
          </w:p>
        </w:tc>
        <w:tc>
          <w:tcPr>
            <w:tcW w:w="2835" w:type="dxa"/>
            <w:vAlign w:val="center"/>
          </w:tcPr>
          <w:p w14:paraId="383A258B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Framatome</w:t>
            </w:r>
          </w:p>
          <w:p w14:paraId="29BF209C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10 Rue Juliette Recamier</w:t>
            </w:r>
          </w:p>
          <w:p w14:paraId="2452D5B8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F-69456 Lyon  99999  FRA</w:t>
            </w:r>
          </w:p>
          <w:p w14:paraId="79FE3C44" w14:textId="18DDAD8B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France</w:t>
            </w:r>
          </w:p>
        </w:tc>
        <w:tc>
          <w:tcPr>
            <w:tcW w:w="1531" w:type="dxa"/>
            <w:vAlign w:val="center"/>
          </w:tcPr>
          <w:p w14:paraId="295AFF4E" w14:textId="3166CB2F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$1</w:t>
            </w:r>
            <w:r>
              <w:rPr>
                <w:rFonts w:eastAsia="Arial Unicode MS" w:cs="Arial Unicode MS"/>
                <w:sz w:val="20"/>
                <w:szCs w:val="20"/>
              </w:rPr>
              <w:t>,</w:t>
            </w:r>
            <w:r w:rsidRPr="00024059">
              <w:rPr>
                <w:rFonts w:eastAsia="Arial Unicode MS" w:cs="Arial Unicode MS"/>
                <w:sz w:val="20"/>
                <w:szCs w:val="20"/>
              </w:rPr>
              <w:t>481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  <w:r w:rsidRPr="00024059">
              <w:rPr>
                <w:rFonts w:eastAsia="Arial Unicode MS" w:cs="Arial Unicode MS"/>
                <w:sz w:val="20"/>
                <w:szCs w:val="20"/>
              </w:rPr>
              <w:t>562.230</w:t>
            </w:r>
          </w:p>
        </w:tc>
        <w:tc>
          <w:tcPr>
            <w:tcW w:w="1276" w:type="dxa"/>
            <w:vAlign w:val="center"/>
          </w:tcPr>
          <w:p w14:paraId="23011DE4" w14:textId="0501BA46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12/07/2019</w:t>
            </w:r>
          </w:p>
        </w:tc>
        <w:tc>
          <w:tcPr>
            <w:tcW w:w="5698" w:type="dxa"/>
            <w:vAlign w:val="center"/>
          </w:tcPr>
          <w:p w14:paraId="3A0CB1E2" w14:textId="77777777" w:rsidR="008A7F88" w:rsidRDefault="008A7F88" w:rsidP="006534BC">
            <w:pPr>
              <w:rPr>
                <w:sz w:val="20"/>
                <w:szCs w:val="20"/>
              </w:rPr>
            </w:pPr>
          </w:p>
          <w:p w14:paraId="678024B2" w14:textId="77777777" w:rsidR="008A7F88" w:rsidRDefault="008A7F88" w:rsidP="006534BC">
            <w:pPr>
              <w:rPr>
                <w:sz w:val="20"/>
                <w:szCs w:val="20"/>
              </w:rPr>
            </w:pPr>
            <w:r w:rsidRPr="006534BC">
              <w:rPr>
                <w:sz w:val="20"/>
                <w:szCs w:val="20"/>
              </w:rPr>
              <w:t>The services can be supplied only by this particular supplier and no reasonable alternative or substitute services exist for any of the following reasons: due to an absence of competition for technical reasons.</w:t>
            </w:r>
          </w:p>
          <w:p w14:paraId="7CE48366" w14:textId="5EBF4C12" w:rsidR="008A7F88" w:rsidRPr="00024059" w:rsidRDefault="008A7F88" w:rsidP="006534BC">
            <w:pPr>
              <w:rPr>
                <w:sz w:val="20"/>
                <w:szCs w:val="20"/>
              </w:rPr>
            </w:pPr>
          </w:p>
        </w:tc>
      </w:tr>
      <w:tr w:rsidR="008A7F88" w:rsidRPr="003A72CE" w14:paraId="79E0E9F3" w14:textId="77777777" w:rsidTr="008A7F88">
        <w:tc>
          <w:tcPr>
            <w:tcW w:w="2830" w:type="dxa"/>
            <w:vAlign w:val="center"/>
          </w:tcPr>
          <w:p w14:paraId="27C55C31" w14:textId="163EB038" w:rsidR="008A7F88" w:rsidRPr="00024059" w:rsidRDefault="008A7F88" w:rsidP="008A7F88">
            <w:pPr>
              <w:jc w:val="center"/>
              <w:rPr>
                <w:sz w:val="20"/>
                <w:szCs w:val="20"/>
              </w:rPr>
            </w:pPr>
            <w:r w:rsidRPr="00024059">
              <w:rPr>
                <w:sz w:val="20"/>
                <w:szCs w:val="20"/>
              </w:rPr>
              <w:t>ExamSoft Assessment Software</w:t>
            </w:r>
          </w:p>
        </w:tc>
        <w:tc>
          <w:tcPr>
            <w:tcW w:w="2835" w:type="dxa"/>
            <w:vAlign w:val="center"/>
          </w:tcPr>
          <w:p w14:paraId="21B59CFB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  <w:p w14:paraId="4F541589" w14:textId="363C1D2D" w:rsidR="008A7F88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ExamSoft Worldwide Inc.</w:t>
            </w:r>
          </w:p>
          <w:p w14:paraId="67CB0621" w14:textId="77777777" w:rsidR="008A7F88" w:rsidRPr="008D5454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8D5454">
              <w:rPr>
                <w:rFonts w:eastAsia="Arial Unicode MS" w:cs="Arial Unicode MS"/>
                <w:sz w:val="20"/>
                <w:szCs w:val="20"/>
              </w:rPr>
              <w:t>5001 LBJ Freeway STE 700</w:t>
            </w:r>
          </w:p>
          <w:p w14:paraId="72B70643" w14:textId="7777777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8D5454">
              <w:rPr>
                <w:rFonts w:eastAsia="Arial Unicode MS" w:cs="Arial Unicode MS"/>
                <w:sz w:val="20"/>
                <w:szCs w:val="20"/>
              </w:rPr>
              <w:t>Dallas, TX 75244 USA</w:t>
            </w:r>
          </w:p>
          <w:p w14:paraId="00FEECA5" w14:textId="7DFB032C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79CD028" w14:textId="08C4E22E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$101,790.000</w:t>
            </w:r>
          </w:p>
        </w:tc>
        <w:tc>
          <w:tcPr>
            <w:tcW w:w="1276" w:type="dxa"/>
            <w:vAlign w:val="center"/>
          </w:tcPr>
          <w:p w14:paraId="39D8B708" w14:textId="370917E7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23/07/2019</w:t>
            </w:r>
          </w:p>
        </w:tc>
        <w:tc>
          <w:tcPr>
            <w:tcW w:w="5698" w:type="dxa"/>
            <w:vAlign w:val="center"/>
          </w:tcPr>
          <w:p w14:paraId="49F2923C" w14:textId="189297CB" w:rsidR="008A7F88" w:rsidRPr="00024059" w:rsidRDefault="008A7F88" w:rsidP="00500950">
            <w:pPr>
              <w:rPr>
                <w:sz w:val="20"/>
                <w:szCs w:val="20"/>
              </w:rPr>
            </w:pPr>
            <w:r w:rsidRPr="008A7F88">
              <w:rPr>
                <w:sz w:val="20"/>
                <w:szCs w:val="20"/>
              </w:rPr>
              <w:t>The services can be supplied only by this particular supplier and no reasonable alternative or substitute services exist for any of the following reasons: due to an absence of competition for technical reasons.</w:t>
            </w:r>
          </w:p>
        </w:tc>
      </w:tr>
      <w:tr w:rsidR="008A7F88" w:rsidRPr="003A72CE" w14:paraId="3831F5E1" w14:textId="77777777" w:rsidTr="008A7F88">
        <w:tc>
          <w:tcPr>
            <w:tcW w:w="2830" w:type="dxa"/>
            <w:vAlign w:val="center"/>
          </w:tcPr>
          <w:p w14:paraId="3D52F3EA" w14:textId="411E98CB" w:rsidR="008A7F88" w:rsidRPr="00024059" w:rsidRDefault="008A7F88" w:rsidP="008A7F88">
            <w:pPr>
              <w:jc w:val="center"/>
              <w:rPr>
                <w:sz w:val="20"/>
                <w:szCs w:val="20"/>
              </w:rPr>
            </w:pPr>
            <w:r w:rsidRPr="00024059">
              <w:rPr>
                <w:sz w:val="20"/>
                <w:szCs w:val="20"/>
              </w:rPr>
              <w:t>Additional AV supplies for temporary class</w:t>
            </w:r>
            <w:r>
              <w:rPr>
                <w:sz w:val="20"/>
                <w:szCs w:val="20"/>
              </w:rPr>
              <w:t xml:space="preserve">room functionality </w:t>
            </w:r>
          </w:p>
        </w:tc>
        <w:tc>
          <w:tcPr>
            <w:tcW w:w="2835" w:type="dxa"/>
            <w:vAlign w:val="center"/>
          </w:tcPr>
          <w:p w14:paraId="723E1D31" w14:textId="3A75C762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MacLean Media Systems Inc.</w:t>
            </w:r>
          </w:p>
          <w:p w14:paraId="53F2C8A7" w14:textId="536ED424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A-9 3375 North Service Rd.</w:t>
            </w:r>
          </w:p>
          <w:p w14:paraId="326426AF" w14:textId="240895FF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Burlington, ON L7N 3G2</w:t>
            </w:r>
          </w:p>
        </w:tc>
        <w:tc>
          <w:tcPr>
            <w:tcW w:w="1531" w:type="dxa"/>
            <w:vAlign w:val="center"/>
          </w:tcPr>
          <w:p w14:paraId="472CD6C6" w14:textId="786F1D9E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$119,847.000</w:t>
            </w:r>
          </w:p>
        </w:tc>
        <w:tc>
          <w:tcPr>
            <w:tcW w:w="1276" w:type="dxa"/>
            <w:vAlign w:val="center"/>
          </w:tcPr>
          <w:p w14:paraId="1E38438C" w14:textId="59D02943" w:rsidR="008A7F88" w:rsidRPr="00024059" w:rsidRDefault="008A7F88" w:rsidP="008A7F88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024059">
              <w:rPr>
                <w:rFonts w:eastAsia="Arial Unicode MS" w:cs="Arial Unicode MS"/>
                <w:sz w:val="20"/>
                <w:szCs w:val="20"/>
              </w:rPr>
              <w:t>17/07/2019</w:t>
            </w:r>
          </w:p>
        </w:tc>
        <w:tc>
          <w:tcPr>
            <w:tcW w:w="5698" w:type="dxa"/>
            <w:vAlign w:val="center"/>
          </w:tcPr>
          <w:p w14:paraId="6F840EA0" w14:textId="1EBDFE20" w:rsidR="008A7F88" w:rsidRPr="008A7F88" w:rsidRDefault="008A7F88" w:rsidP="00500950">
            <w:pPr>
              <w:rPr>
                <w:sz w:val="20"/>
                <w:szCs w:val="20"/>
              </w:rPr>
            </w:pPr>
            <w:r w:rsidRPr="008A7F88">
              <w:rPr>
                <w:sz w:val="20"/>
                <w:szCs w:val="20"/>
              </w:rPr>
              <w:t>Was strictly necessary, by events unforeseeable services could not be obtained in time using open tendering.</w:t>
            </w:r>
          </w:p>
        </w:tc>
      </w:tr>
    </w:tbl>
    <w:p w14:paraId="661FF6CA" w14:textId="77777777" w:rsidR="008B01E0" w:rsidRPr="00F332E2" w:rsidRDefault="007E345C" w:rsidP="00246FF6">
      <w:pPr>
        <w:tabs>
          <w:tab w:val="left" w:pos="10620"/>
        </w:tabs>
        <w:spacing w:after="0" w:line="240" w:lineRule="auto"/>
        <w:rPr>
          <w:sz w:val="20"/>
          <w:szCs w:val="20"/>
        </w:rPr>
      </w:pPr>
      <w:r w:rsidRPr="00F332E2">
        <w:rPr>
          <w:sz w:val="20"/>
          <w:szCs w:val="20"/>
        </w:rPr>
        <w:t xml:space="preserve">Please send your inquiries to: </w:t>
      </w:r>
      <w:r w:rsidR="008B01E0" w:rsidRPr="00F332E2">
        <w:rPr>
          <w:sz w:val="20"/>
          <w:szCs w:val="20"/>
        </w:rPr>
        <w:tab/>
      </w:r>
    </w:p>
    <w:p w14:paraId="734BA229" w14:textId="77777777" w:rsidR="00246FF6" w:rsidRPr="00A256CF" w:rsidRDefault="00246FF6" w:rsidP="00246FF6">
      <w:pPr>
        <w:pStyle w:val="NoSpacing"/>
        <w:rPr>
          <w:sz w:val="20"/>
          <w:szCs w:val="20"/>
        </w:rPr>
      </w:pPr>
    </w:p>
    <w:p w14:paraId="3798E59F" w14:textId="29D1A973" w:rsidR="008B01E0" w:rsidRPr="00A256CF" w:rsidRDefault="00B35DA4" w:rsidP="00246FF6">
      <w:pPr>
        <w:pStyle w:val="NoSpacing"/>
        <w:rPr>
          <w:sz w:val="20"/>
          <w:szCs w:val="20"/>
        </w:rPr>
      </w:pPr>
      <w:r w:rsidRPr="00A256CF">
        <w:rPr>
          <w:sz w:val="20"/>
          <w:szCs w:val="20"/>
        </w:rPr>
        <w:t xml:space="preserve">David Mawdsley, Manager, </w:t>
      </w:r>
      <w:r w:rsidR="00966D0A" w:rsidRPr="00A256CF">
        <w:rPr>
          <w:sz w:val="20"/>
          <w:szCs w:val="20"/>
        </w:rPr>
        <w:t xml:space="preserve">Strategic Procurement </w:t>
      </w:r>
    </w:p>
    <w:p w14:paraId="7FADDFCC" w14:textId="77777777" w:rsidR="008B01E0" w:rsidRPr="00A256CF" w:rsidRDefault="008B01E0" w:rsidP="00246FF6">
      <w:pPr>
        <w:pStyle w:val="NoSpacing"/>
        <w:rPr>
          <w:sz w:val="20"/>
          <w:szCs w:val="20"/>
        </w:rPr>
      </w:pPr>
      <w:r w:rsidRPr="00A256CF">
        <w:rPr>
          <w:sz w:val="20"/>
          <w:szCs w:val="20"/>
        </w:rPr>
        <w:t>1 James St. North, 3</w:t>
      </w:r>
      <w:r w:rsidRPr="00A256CF">
        <w:rPr>
          <w:sz w:val="20"/>
          <w:szCs w:val="20"/>
          <w:vertAlign w:val="superscript"/>
        </w:rPr>
        <w:t>rd</w:t>
      </w:r>
      <w:r w:rsidRPr="00A256CF">
        <w:rPr>
          <w:sz w:val="20"/>
          <w:szCs w:val="20"/>
        </w:rPr>
        <w:t xml:space="preserve"> Floor</w:t>
      </w:r>
      <w:bookmarkStart w:id="0" w:name="_GoBack"/>
      <w:bookmarkEnd w:id="0"/>
    </w:p>
    <w:p w14:paraId="4C6F898C" w14:textId="77777777" w:rsidR="00B35DA4" w:rsidRPr="00A256CF" w:rsidRDefault="008B01E0" w:rsidP="00246FF6">
      <w:pPr>
        <w:pStyle w:val="NoSpacing"/>
        <w:rPr>
          <w:sz w:val="20"/>
          <w:szCs w:val="20"/>
        </w:rPr>
      </w:pPr>
      <w:r w:rsidRPr="00A256CF">
        <w:rPr>
          <w:sz w:val="20"/>
          <w:szCs w:val="20"/>
        </w:rPr>
        <w:t>Hamilton, ON L8R 2K3</w:t>
      </w:r>
    </w:p>
    <w:p w14:paraId="1ECF803F" w14:textId="321B43C8" w:rsidR="008D5454" w:rsidRDefault="008B01E0" w:rsidP="00246FF6">
      <w:pPr>
        <w:pStyle w:val="NoSpacing"/>
        <w:rPr>
          <w:color w:val="000000"/>
          <w:sz w:val="20"/>
          <w:szCs w:val="20"/>
          <w:lang w:eastAsia="en-CA"/>
        </w:rPr>
      </w:pPr>
      <w:r w:rsidRPr="00A256CF">
        <w:rPr>
          <w:sz w:val="20"/>
          <w:szCs w:val="20"/>
        </w:rPr>
        <w:lastRenderedPageBreak/>
        <w:t xml:space="preserve">Ph: </w:t>
      </w:r>
      <w:r w:rsidRPr="00A256CF">
        <w:rPr>
          <w:color w:val="000000"/>
          <w:sz w:val="20"/>
          <w:szCs w:val="20"/>
          <w:lang w:eastAsia="en-CA"/>
        </w:rPr>
        <w:t>905-525-</w:t>
      </w:r>
      <w:r w:rsidR="00F332E2" w:rsidRPr="00F332E2">
        <w:rPr>
          <w:color w:val="000000"/>
          <w:sz w:val="20"/>
          <w:szCs w:val="20"/>
          <w:lang w:eastAsia="en-CA"/>
        </w:rPr>
        <w:t>9140 x21383</w:t>
      </w:r>
    </w:p>
    <w:p w14:paraId="5B040EF8" w14:textId="27771542" w:rsidR="006534BC" w:rsidRPr="008D5454" w:rsidRDefault="008A7F88" w:rsidP="00246FF6">
      <w:pPr>
        <w:pStyle w:val="NoSpacing"/>
        <w:rPr>
          <w:color w:val="000000"/>
          <w:sz w:val="20"/>
          <w:szCs w:val="20"/>
          <w:lang w:eastAsia="en-CA"/>
        </w:rPr>
      </w:pPr>
      <w:hyperlink r:id="rId11" w:history="1">
        <w:r w:rsidR="006534BC" w:rsidRPr="0060136B">
          <w:rPr>
            <w:rStyle w:val="Hyperlink"/>
            <w:sz w:val="20"/>
            <w:szCs w:val="20"/>
            <w:lang w:eastAsia="en-CA"/>
          </w:rPr>
          <w:t>mawdsled@mcmaster.ca</w:t>
        </w:r>
      </w:hyperlink>
      <w:r w:rsidR="006534BC">
        <w:rPr>
          <w:color w:val="000000"/>
          <w:sz w:val="20"/>
          <w:szCs w:val="20"/>
          <w:lang w:eastAsia="en-CA"/>
        </w:rPr>
        <w:t xml:space="preserve"> </w:t>
      </w:r>
    </w:p>
    <w:sectPr w:rsidR="006534BC" w:rsidRPr="008D5454" w:rsidSect="008B01E0">
      <w:footerReference w:type="default" r:id="rId12"/>
      <w:pgSz w:w="15840" w:h="12240" w:orient="landscape" w:code="1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730E3" w14:textId="77777777" w:rsidR="00852B1E" w:rsidRDefault="00852B1E" w:rsidP="003D0CD6">
      <w:pPr>
        <w:spacing w:after="0" w:line="240" w:lineRule="auto"/>
      </w:pPr>
      <w:r>
        <w:separator/>
      </w:r>
    </w:p>
  </w:endnote>
  <w:endnote w:type="continuationSeparator" w:id="0">
    <w:p w14:paraId="3838B18F" w14:textId="77777777" w:rsidR="00852B1E" w:rsidRDefault="00852B1E" w:rsidP="003D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5EDF3" w14:textId="77777777" w:rsidR="00580FD8" w:rsidRPr="00F80055" w:rsidRDefault="00580FD8" w:rsidP="00976DF5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ACBF4" w14:textId="77777777" w:rsidR="00852B1E" w:rsidRDefault="00852B1E" w:rsidP="003D0CD6">
      <w:pPr>
        <w:spacing w:after="0" w:line="240" w:lineRule="auto"/>
      </w:pPr>
      <w:r>
        <w:separator/>
      </w:r>
    </w:p>
  </w:footnote>
  <w:footnote w:type="continuationSeparator" w:id="0">
    <w:p w14:paraId="69BA097A" w14:textId="77777777" w:rsidR="00852B1E" w:rsidRDefault="00852B1E" w:rsidP="003D0CD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. Mawdsley">
    <w15:presenceInfo w15:providerId="AD" w15:userId="S-1-5-21-1428715864-1772600485-3826315580-485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AA"/>
    <w:rsid w:val="000100E1"/>
    <w:rsid w:val="00024059"/>
    <w:rsid w:val="000429B0"/>
    <w:rsid w:val="00060209"/>
    <w:rsid w:val="00067BFA"/>
    <w:rsid w:val="0008065A"/>
    <w:rsid w:val="000C49C1"/>
    <w:rsid w:val="000C5CFB"/>
    <w:rsid w:val="000E334A"/>
    <w:rsid w:val="000F2361"/>
    <w:rsid w:val="00125B9B"/>
    <w:rsid w:val="00126615"/>
    <w:rsid w:val="00126936"/>
    <w:rsid w:val="00130988"/>
    <w:rsid w:val="001309A1"/>
    <w:rsid w:val="00142D7A"/>
    <w:rsid w:val="0015266D"/>
    <w:rsid w:val="001658C5"/>
    <w:rsid w:val="0017421C"/>
    <w:rsid w:val="00182F22"/>
    <w:rsid w:val="001A4D2E"/>
    <w:rsid w:val="001C575E"/>
    <w:rsid w:val="001E528A"/>
    <w:rsid w:val="001E61DE"/>
    <w:rsid w:val="001E7889"/>
    <w:rsid w:val="001F363A"/>
    <w:rsid w:val="002131A2"/>
    <w:rsid w:val="00221644"/>
    <w:rsid w:val="00242620"/>
    <w:rsid w:val="00246FF6"/>
    <w:rsid w:val="002653FA"/>
    <w:rsid w:val="00274A2F"/>
    <w:rsid w:val="00275219"/>
    <w:rsid w:val="00280412"/>
    <w:rsid w:val="00287E6A"/>
    <w:rsid w:val="002A1727"/>
    <w:rsid w:val="002A7A47"/>
    <w:rsid w:val="002B53D5"/>
    <w:rsid w:val="002C69EF"/>
    <w:rsid w:val="002D3C6F"/>
    <w:rsid w:val="002D632B"/>
    <w:rsid w:val="002E22F5"/>
    <w:rsid w:val="002E27A7"/>
    <w:rsid w:val="002E6C3F"/>
    <w:rsid w:val="002F0915"/>
    <w:rsid w:val="002F0D82"/>
    <w:rsid w:val="002F243E"/>
    <w:rsid w:val="00300775"/>
    <w:rsid w:val="003029BC"/>
    <w:rsid w:val="00302A26"/>
    <w:rsid w:val="003212BC"/>
    <w:rsid w:val="0032291B"/>
    <w:rsid w:val="003332F1"/>
    <w:rsid w:val="00333415"/>
    <w:rsid w:val="00344D8F"/>
    <w:rsid w:val="00363389"/>
    <w:rsid w:val="00364A69"/>
    <w:rsid w:val="0038169A"/>
    <w:rsid w:val="00393B2B"/>
    <w:rsid w:val="003A72CE"/>
    <w:rsid w:val="003B6D3F"/>
    <w:rsid w:val="003C1508"/>
    <w:rsid w:val="003D0CD6"/>
    <w:rsid w:val="003D49B6"/>
    <w:rsid w:val="00402971"/>
    <w:rsid w:val="004078BE"/>
    <w:rsid w:val="0042118B"/>
    <w:rsid w:val="0042348E"/>
    <w:rsid w:val="00425DA1"/>
    <w:rsid w:val="0043350B"/>
    <w:rsid w:val="004356DD"/>
    <w:rsid w:val="00446655"/>
    <w:rsid w:val="0045775E"/>
    <w:rsid w:val="0046638D"/>
    <w:rsid w:val="00471E83"/>
    <w:rsid w:val="00483A58"/>
    <w:rsid w:val="004869E5"/>
    <w:rsid w:val="00492F26"/>
    <w:rsid w:val="00493932"/>
    <w:rsid w:val="004975EB"/>
    <w:rsid w:val="004A3EA4"/>
    <w:rsid w:val="004A461E"/>
    <w:rsid w:val="004A6A8D"/>
    <w:rsid w:val="004B1176"/>
    <w:rsid w:val="004D3005"/>
    <w:rsid w:val="004D54BA"/>
    <w:rsid w:val="004E09D7"/>
    <w:rsid w:val="004F4085"/>
    <w:rsid w:val="004F6FE7"/>
    <w:rsid w:val="00500950"/>
    <w:rsid w:val="0051125D"/>
    <w:rsid w:val="0051546B"/>
    <w:rsid w:val="005366B7"/>
    <w:rsid w:val="005464B7"/>
    <w:rsid w:val="00551F08"/>
    <w:rsid w:val="005620E5"/>
    <w:rsid w:val="00580A54"/>
    <w:rsid w:val="00580FD8"/>
    <w:rsid w:val="00581204"/>
    <w:rsid w:val="005B1AB7"/>
    <w:rsid w:val="005B5423"/>
    <w:rsid w:val="005B56A0"/>
    <w:rsid w:val="005B5887"/>
    <w:rsid w:val="005C07B4"/>
    <w:rsid w:val="005C65E0"/>
    <w:rsid w:val="005C6987"/>
    <w:rsid w:val="005D4D0E"/>
    <w:rsid w:val="005E18F2"/>
    <w:rsid w:val="005F4F34"/>
    <w:rsid w:val="00626C1C"/>
    <w:rsid w:val="00630062"/>
    <w:rsid w:val="006401B4"/>
    <w:rsid w:val="00643B8F"/>
    <w:rsid w:val="006534BC"/>
    <w:rsid w:val="0066554A"/>
    <w:rsid w:val="006801BC"/>
    <w:rsid w:val="00683A84"/>
    <w:rsid w:val="00686AF6"/>
    <w:rsid w:val="006922DE"/>
    <w:rsid w:val="006A2594"/>
    <w:rsid w:val="006A624F"/>
    <w:rsid w:val="006B6445"/>
    <w:rsid w:val="006E178F"/>
    <w:rsid w:val="006E3213"/>
    <w:rsid w:val="006E3B63"/>
    <w:rsid w:val="006E59FA"/>
    <w:rsid w:val="006E614A"/>
    <w:rsid w:val="006F50B5"/>
    <w:rsid w:val="007060A3"/>
    <w:rsid w:val="00706314"/>
    <w:rsid w:val="00712A4A"/>
    <w:rsid w:val="007160F6"/>
    <w:rsid w:val="00717707"/>
    <w:rsid w:val="007254DB"/>
    <w:rsid w:val="007300F6"/>
    <w:rsid w:val="007566DB"/>
    <w:rsid w:val="00773593"/>
    <w:rsid w:val="00773BA6"/>
    <w:rsid w:val="00785C95"/>
    <w:rsid w:val="00785E08"/>
    <w:rsid w:val="00792340"/>
    <w:rsid w:val="007A3F9E"/>
    <w:rsid w:val="007A51BA"/>
    <w:rsid w:val="007A6E0C"/>
    <w:rsid w:val="007B4E05"/>
    <w:rsid w:val="007C5775"/>
    <w:rsid w:val="007D5699"/>
    <w:rsid w:val="007E345C"/>
    <w:rsid w:val="008158D4"/>
    <w:rsid w:val="008170C9"/>
    <w:rsid w:val="008202EB"/>
    <w:rsid w:val="008205C0"/>
    <w:rsid w:val="0082722D"/>
    <w:rsid w:val="00852B1E"/>
    <w:rsid w:val="0086341B"/>
    <w:rsid w:val="0086438E"/>
    <w:rsid w:val="00865251"/>
    <w:rsid w:val="00866A92"/>
    <w:rsid w:val="008712E5"/>
    <w:rsid w:val="00872801"/>
    <w:rsid w:val="00881765"/>
    <w:rsid w:val="008827E1"/>
    <w:rsid w:val="00893305"/>
    <w:rsid w:val="008963AA"/>
    <w:rsid w:val="008A7F88"/>
    <w:rsid w:val="008B01E0"/>
    <w:rsid w:val="008C01A5"/>
    <w:rsid w:val="008C2123"/>
    <w:rsid w:val="008C5670"/>
    <w:rsid w:val="008D5454"/>
    <w:rsid w:val="008D67A6"/>
    <w:rsid w:val="008E0F7E"/>
    <w:rsid w:val="008E502E"/>
    <w:rsid w:val="008E54DA"/>
    <w:rsid w:val="008E7496"/>
    <w:rsid w:val="0093124F"/>
    <w:rsid w:val="00953256"/>
    <w:rsid w:val="00954465"/>
    <w:rsid w:val="00960D7F"/>
    <w:rsid w:val="0096314E"/>
    <w:rsid w:val="00963BF7"/>
    <w:rsid w:val="00966D0A"/>
    <w:rsid w:val="00970A49"/>
    <w:rsid w:val="00972C61"/>
    <w:rsid w:val="00976DF5"/>
    <w:rsid w:val="009777A8"/>
    <w:rsid w:val="0097793B"/>
    <w:rsid w:val="00994A7B"/>
    <w:rsid w:val="00995716"/>
    <w:rsid w:val="009A236E"/>
    <w:rsid w:val="009B0BE4"/>
    <w:rsid w:val="009B1126"/>
    <w:rsid w:val="009E1692"/>
    <w:rsid w:val="009E382D"/>
    <w:rsid w:val="009E6150"/>
    <w:rsid w:val="009F398B"/>
    <w:rsid w:val="00A13E96"/>
    <w:rsid w:val="00A14985"/>
    <w:rsid w:val="00A256CF"/>
    <w:rsid w:val="00A271B1"/>
    <w:rsid w:val="00A369BA"/>
    <w:rsid w:val="00A63D03"/>
    <w:rsid w:val="00A76791"/>
    <w:rsid w:val="00A77238"/>
    <w:rsid w:val="00AA5AE7"/>
    <w:rsid w:val="00AA7C95"/>
    <w:rsid w:val="00AD712D"/>
    <w:rsid w:val="00AF4574"/>
    <w:rsid w:val="00AF6C0F"/>
    <w:rsid w:val="00B07E4F"/>
    <w:rsid w:val="00B254AF"/>
    <w:rsid w:val="00B340EE"/>
    <w:rsid w:val="00B35DA4"/>
    <w:rsid w:val="00B40F74"/>
    <w:rsid w:val="00B579C8"/>
    <w:rsid w:val="00B777F7"/>
    <w:rsid w:val="00B83DEF"/>
    <w:rsid w:val="00BA1DD2"/>
    <w:rsid w:val="00BA6C0C"/>
    <w:rsid w:val="00BC519F"/>
    <w:rsid w:val="00BE4B8B"/>
    <w:rsid w:val="00C00FE5"/>
    <w:rsid w:val="00C17708"/>
    <w:rsid w:val="00C22AEF"/>
    <w:rsid w:val="00C63023"/>
    <w:rsid w:val="00C703B0"/>
    <w:rsid w:val="00C77A6A"/>
    <w:rsid w:val="00C85AAA"/>
    <w:rsid w:val="00C968E3"/>
    <w:rsid w:val="00CA09EC"/>
    <w:rsid w:val="00CA0E9D"/>
    <w:rsid w:val="00CA133E"/>
    <w:rsid w:val="00CA4E3F"/>
    <w:rsid w:val="00CB17C5"/>
    <w:rsid w:val="00CD3AAF"/>
    <w:rsid w:val="00D10693"/>
    <w:rsid w:val="00D14FF0"/>
    <w:rsid w:val="00D26C9E"/>
    <w:rsid w:val="00D2729F"/>
    <w:rsid w:val="00D45413"/>
    <w:rsid w:val="00D5315F"/>
    <w:rsid w:val="00D55F9B"/>
    <w:rsid w:val="00D607FC"/>
    <w:rsid w:val="00D6290B"/>
    <w:rsid w:val="00D7462A"/>
    <w:rsid w:val="00DB52C9"/>
    <w:rsid w:val="00DC014E"/>
    <w:rsid w:val="00DC3A44"/>
    <w:rsid w:val="00DD237A"/>
    <w:rsid w:val="00DD7DC5"/>
    <w:rsid w:val="00DE2B06"/>
    <w:rsid w:val="00DF093A"/>
    <w:rsid w:val="00DF5A6B"/>
    <w:rsid w:val="00E02449"/>
    <w:rsid w:val="00E31F23"/>
    <w:rsid w:val="00E328D9"/>
    <w:rsid w:val="00E32998"/>
    <w:rsid w:val="00E51799"/>
    <w:rsid w:val="00E722FD"/>
    <w:rsid w:val="00E82F81"/>
    <w:rsid w:val="00E83904"/>
    <w:rsid w:val="00E85175"/>
    <w:rsid w:val="00E85FC5"/>
    <w:rsid w:val="00E8772C"/>
    <w:rsid w:val="00E9296F"/>
    <w:rsid w:val="00EA1527"/>
    <w:rsid w:val="00EB69D0"/>
    <w:rsid w:val="00EC66DF"/>
    <w:rsid w:val="00ED4536"/>
    <w:rsid w:val="00ED50C7"/>
    <w:rsid w:val="00EE3F4F"/>
    <w:rsid w:val="00EF62C4"/>
    <w:rsid w:val="00EF7C4B"/>
    <w:rsid w:val="00F10A64"/>
    <w:rsid w:val="00F264C9"/>
    <w:rsid w:val="00F332E2"/>
    <w:rsid w:val="00F33F4F"/>
    <w:rsid w:val="00F625A6"/>
    <w:rsid w:val="00F70B80"/>
    <w:rsid w:val="00F730AB"/>
    <w:rsid w:val="00F80055"/>
    <w:rsid w:val="00F916D1"/>
    <w:rsid w:val="00FB02F9"/>
    <w:rsid w:val="00FD73D0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D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D30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A4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E52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D6"/>
  </w:style>
  <w:style w:type="paragraph" w:styleId="Footer">
    <w:name w:val="footer"/>
    <w:basedOn w:val="Normal"/>
    <w:link w:val="FooterChar"/>
    <w:uiPriority w:val="99"/>
    <w:unhideWhenUsed/>
    <w:rsid w:val="003D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D6"/>
  </w:style>
  <w:style w:type="paragraph" w:styleId="BalloonText">
    <w:name w:val="Balloon Text"/>
    <w:basedOn w:val="Normal"/>
    <w:link w:val="BalloonTextChar"/>
    <w:uiPriority w:val="99"/>
    <w:semiHidden/>
    <w:unhideWhenUsed/>
    <w:rsid w:val="00B2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D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3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D30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A4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E52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D6"/>
  </w:style>
  <w:style w:type="paragraph" w:styleId="Footer">
    <w:name w:val="footer"/>
    <w:basedOn w:val="Normal"/>
    <w:link w:val="FooterChar"/>
    <w:uiPriority w:val="99"/>
    <w:unhideWhenUsed/>
    <w:rsid w:val="003D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D6"/>
  </w:style>
  <w:style w:type="paragraph" w:styleId="BalloonText">
    <w:name w:val="Balloon Text"/>
    <w:basedOn w:val="Normal"/>
    <w:link w:val="BalloonTextChar"/>
    <w:uiPriority w:val="99"/>
    <w:semiHidden/>
    <w:unhideWhenUsed/>
    <w:rsid w:val="00B2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D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3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wdsled@mcmaster.ca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international.gc.ca/gac-amc/campaign-campagne/ceta-aecg/index.aspx?lang=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fta-alec.ca/canadian-free-trade-agree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4B85-B549-4628-8649-3F948A03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Carnemolla</dc:creator>
  <cp:lastModifiedBy>R. Flitcroft</cp:lastModifiedBy>
  <cp:revision>4</cp:revision>
  <cp:lastPrinted>2019-08-16T18:41:00Z</cp:lastPrinted>
  <dcterms:created xsi:type="dcterms:W3CDTF">2019-08-16T19:26:00Z</dcterms:created>
  <dcterms:modified xsi:type="dcterms:W3CDTF">2019-08-22T03:08:00Z</dcterms:modified>
</cp:coreProperties>
</file>