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D263" w14:textId="77777777" w:rsidR="000D106B" w:rsidRPr="00813F3C" w:rsidRDefault="000D106B" w:rsidP="00813F3C">
      <w:pPr>
        <w:pStyle w:val="BodyText"/>
      </w:pPr>
    </w:p>
    <w:p w14:paraId="00730665" w14:textId="77777777" w:rsidR="000D106B" w:rsidRDefault="000D106B">
      <w:pPr>
        <w:pStyle w:val="BodyText"/>
        <w:rPr>
          <w:sz w:val="20"/>
        </w:rPr>
      </w:pPr>
    </w:p>
    <w:p w14:paraId="57C90FC8" w14:textId="77777777" w:rsidR="000D106B" w:rsidRDefault="000D106B">
      <w:pPr>
        <w:pStyle w:val="BodyText"/>
        <w:spacing w:before="8"/>
        <w:rPr>
          <w:sz w:val="29"/>
        </w:rPr>
      </w:pPr>
    </w:p>
    <w:p w14:paraId="576F433F" w14:textId="77777777" w:rsidR="000D106B" w:rsidRDefault="00EE56C6">
      <w:pPr>
        <w:spacing w:before="99"/>
        <w:ind w:left="3574"/>
        <w:rPr>
          <w:rFonts w:ascii="Arial Narrow"/>
          <w:b/>
          <w:sz w:val="42"/>
        </w:rPr>
      </w:pPr>
      <w:r>
        <w:rPr>
          <w:noProof/>
          <w:lang w:bidi="ar-SA"/>
        </w:rPr>
        <w:drawing>
          <wp:anchor distT="0" distB="0" distL="0" distR="0" simplePos="0" relativeHeight="251656704" behindDoc="0" locked="0" layoutInCell="1" allowOverlap="1" wp14:anchorId="3036CE3F" wp14:editId="41932320">
            <wp:simplePos x="0" y="0"/>
            <wp:positionH relativeFrom="page">
              <wp:posOffset>777240</wp:posOffset>
            </wp:positionH>
            <wp:positionV relativeFrom="paragraph">
              <wp:posOffset>-508035</wp:posOffset>
            </wp:positionV>
            <wp:extent cx="1651635"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51635" cy="914400"/>
                    </a:xfrm>
                    <a:prstGeom prst="rect">
                      <a:avLst/>
                    </a:prstGeom>
                  </pic:spPr>
                </pic:pic>
              </a:graphicData>
            </a:graphic>
          </wp:anchor>
        </w:drawing>
      </w:r>
      <w:r w:rsidRPr="6C216D6B">
        <w:rPr>
          <w:rFonts w:ascii="Arial Narrow"/>
          <w:b/>
          <w:bCs/>
          <w:color w:val="999999"/>
          <w:sz w:val="42"/>
          <w:szCs w:val="42"/>
        </w:rPr>
        <w:t>Administration Policy</w:t>
      </w:r>
    </w:p>
    <w:p w14:paraId="6273BA27" w14:textId="77777777" w:rsidR="000D106B" w:rsidRDefault="000D106B">
      <w:pPr>
        <w:pStyle w:val="BodyText"/>
        <w:spacing w:before="1"/>
        <w:rPr>
          <w:rFonts w:ascii="Arial Narrow"/>
          <w:b/>
          <w:sz w:val="16"/>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9"/>
        <w:gridCol w:w="5317"/>
      </w:tblGrid>
      <w:tr w:rsidR="000D106B" w14:paraId="7BDF6FD7" w14:textId="77777777">
        <w:trPr>
          <w:trHeight w:val="957"/>
        </w:trPr>
        <w:tc>
          <w:tcPr>
            <w:tcW w:w="4429" w:type="dxa"/>
          </w:tcPr>
          <w:p w14:paraId="0CB94416" w14:textId="77777777" w:rsidR="000D106B" w:rsidRDefault="00EE56C6">
            <w:pPr>
              <w:pStyle w:val="TableParagraph"/>
              <w:spacing w:line="269" w:lineRule="exact"/>
              <w:ind w:left="112"/>
              <w:rPr>
                <w:sz w:val="24"/>
              </w:rPr>
            </w:pPr>
            <w:r>
              <w:rPr>
                <w:sz w:val="24"/>
              </w:rPr>
              <w:t>Complete Policy</w:t>
            </w:r>
            <w:r>
              <w:rPr>
                <w:spacing w:val="-8"/>
                <w:sz w:val="24"/>
              </w:rPr>
              <w:t xml:space="preserve"> </w:t>
            </w:r>
            <w:r>
              <w:rPr>
                <w:sz w:val="24"/>
              </w:rPr>
              <w:t>Title:</w:t>
            </w:r>
          </w:p>
          <w:p w14:paraId="3A75B245" w14:textId="77777777" w:rsidR="000D106B" w:rsidRDefault="00EE56C6">
            <w:pPr>
              <w:pStyle w:val="TableParagraph"/>
              <w:spacing w:line="240" w:lineRule="auto"/>
              <w:ind w:left="398" w:right="477"/>
              <w:rPr>
                <w:b/>
                <w:sz w:val="24"/>
              </w:rPr>
            </w:pPr>
            <w:r>
              <w:rPr>
                <w:b/>
                <w:sz w:val="24"/>
              </w:rPr>
              <w:t>Accounts Receivable and Billing</w:t>
            </w:r>
            <w:r>
              <w:rPr>
                <w:b/>
                <w:spacing w:val="-10"/>
                <w:sz w:val="24"/>
              </w:rPr>
              <w:t xml:space="preserve"> </w:t>
            </w:r>
            <w:r>
              <w:rPr>
                <w:b/>
                <w:sz w:val="24"/>
              </w:rPr>
              <w:t>(</w:t>
            </w:r>
            <w:proofErr w:type="gramStart"/>
            <w:r>
              <w:rPr>
                <w:b/>
                <w:sz w:val="24"/>
              </w:rPr>
              <w:t>Non Student</w:t>
            </w:r>
            <w:proofErr w:type="gramEnd"/>
            <w:r>
              <w:rPr>
                <w:b/>
                <w:sz w:val="24"/>
              </w:rPr>
              <w:t>)-</w:t>
            </w:r>
            <w:r>
              <w:rPr>
                <w:b/>
                <w:spacing w:val="-2"/>
                <w:sz w:val="24"/>
              </w:rPr>
              <w:t xml:space="preserve"> </w:t>
            </w:r>
            <w:proofErr w:type="spellStart"/>
            <w:r>
              <w:rPr>
                <w:b/>
                <w:sz w:val="24"/>
              </w:rPr>
              <w:t>MacBill</w:t>
            </w:r>
            <w:proofErr w:type="spellEnd"/>
          </w:p>
        </w:tc>
        <w:tc>
          <w:tcPr>
            <w:tcW w:w="5317" w:type="dxa"/>
          </w:tcPr>
          <w:p w14:paraId="5044D656" w14:textId="77777777" w:rsidR="000D106B" w:rsidRDefault="00EE56C6">
            <w:pPr>
              <w:pStyle w:val="TableParagraph"/>
              <w:rPr>
                <w:sz w:val="24"/>
              </w:rPr>
            </w:pPr>
            <w:r>
              <w:rPr>
                <w:sz w:val="24"/>
              </w:rPr>
              <w:t>Policy Number (if applicable):</w:t>
            </w:r>
          </w:p>
        </w:tc>
      </w:tr>
      <w:tr w:rsidR="000D106B" w14:paraId="2F2F0C7F" w14:textId="77777777">
        <w:trPr>
          <w:trHeight w:val="719"/>
        </w:trPr>
        <w:tc>
          <w:tcPr>
            <w:tcW w:w="4429" w:type="dxa"/>
          </w:tcPr>
          <w:p w14:paraId="45D279B3" w14:textId="77777777" w:rsidR="000D106B" w:rsidRDefault="00EE56C6">
            <w:pPr>
              <w:pStyle w:val="TableParagraph"/>
              <w:spacing w:line="267" w:lineRule="exact"/>
              <w:ind w:left="112"/>
              <w:rPr>
                <w:sz w:val="24"/>
              </w:rPr>
            </w:pPr>
            <w:r>
              <w:rPr>
                <w:sz w:val="24"/>
              </w:rPr>
              <w:t>Approved by:</w:t>
            </w:r>
          </w:p>
          <w:p w14:paraId="3693A5C3" w14:textId="77777777" w:rsidR="000D106B" w:rsidRDefault="00EE56C6">
            <w:pPr>
              <w:pStyle w:val="TableParagraph"/>
              <w:spacing w:line="273" w:lineRule="exact"/>
              <w:ind w:left="398"/>
              <w:rPr>
                <w:sz w:val="24"/>
              </w:rPr>
            </w:pPr>
            <w:r>
              <w:rPr>
                <w:sz w:val="24"/>
              </w:rPr>
              <w:t>AVP (Administration) and CFO</w:t>
            </w:r>
          </w:p>
        </w:tc>
        <w:tc>
          <w:tcPr>
            <w:tcW w:w="5317" w:type="dxa"/>
          </w:tcPr>
          <w:p w14:paraId="594B0C98" w14:textId="7851D961" w:rsidR="000D106B" w:rsidRDefault="00EE56C6">
            <w:pPr>
              <w:pStyle w:val="TableParagraph"/>
              <w:rPr>
                <w:sz w:val="24"/>
              </w:rPr>
            </w:pPr>
            <w:r>
              <w:rPr>
                <w:sz w:val="24"/>
              </w:rPr>
              <w:t>Date of Most Recent Approval:</w:t>
            </w:r>
            <w:r w:rsidR="00813F3C">
              <w:rPr>
                <w:sz w:val="24"/>
              </w:rPr>
              <w:t xml:space="preserve"> June 2023</w:t>
            </w:r>
          </w:p>
        </w:tc>
      </w:tr>
      <w:tr w:rsidR="000D106B" w14:paraId="66916EA9" w14:textId="77777777">
        <w:trPr>
          <w:trHeight w:val="719"/>
        </w:trPr>
        <w:tc>
          <w:tcPr>
            <w:tcW w:w="4429" w:type="dxa"/>
          </w:tcPr>
          <w:p w14:paraId="3AFF1F7B" w14:textId="77777777" w:rsidR="000D106B" w:rsidRDefault="00EE56C6">
            <w:pPr>
              <w:pStyle w:val="TableParagraph"/>
              <w:spacing w:line="271" w:lineRule="exact"/>
              <w:ind w:left="112"/>
              <w:rPr>
                <w:sz w:val="24"/>
              </w:rPr>
            </w:pPr>
            <w:r>
              <w:rPr>
                <w:sz w:val="24"/>
              </w:rPr>
              <w:t>Date of Original Approval(s): August 2019</w:t>
            </w:r>
          </w:p>
        </w:tc>
        <w:tc>
          <w:tcPr>
            <w:tcW w:w="5317" w:type="dxa"/>
          </w:tcPr>
          <w:p w14:paraId="68678620" w14:textId="77777777" w:rsidR="000D106B" w:rsidRDefault="00EE56C6">
            <w:pPr>
              <w:pStyle w:val="TableParagraph"/>
              <w:rPr>
                <w:sz w:val="24"/>
              </w:rPr>
            </w:pPr>
            <w:r>
              <w:rPr>
                <w:sz w:val="24"/>
              </w:rPr>
              <w:t>Supersedes/Amends Policy dated:</w:t>
            </w:r>
          </w:p>
        </w:tc>
      </w:tr>
      <w:tr w:rsidR="000D106B" w14:paraId="26147D5D" w14:textId="77777777">
        <w:trPr>
          <w:trHeight w:val="1075"/>
        </w:trPr>
        <w:tc>
          <w:tcPr>
            <w:tcW w:w="4429" w:type="dxa"/>
          </w:tcPr>
          <w:p w14:paraId="744F3EF4" w14:textId="77777777" w:rsidR="000D106B" w:rsidRDefault="00EE56C6">
            <w:pPr>
              <w:pStyle w:val="TableParagraph"/>
              <w:spacing w:line="267" w:lineRule="exact"/>
              <w:ind w:left="117"/>
              <w:rPr>
                <w:sz w:val="24"/>
              </w:rPr>
            </w:pPr>
            <w:r>
              <w:rPr>
                <w:sz w:val="24"/>
              </w:rPr>
              <w:t>Responsible Executive:</w:t>
            </w:r>
          </w:p>
          <w:p w14:paraId="1F2F169F" w14:textId="77777777" w:rsidR="000D106B" w:rsidRDefault="00EE56C6">
            <w:pPr>
              <w:pStyle w:val="TableParagraph"/>
              <w:spacing w:line="273" w:lineRule="exact"/>
              <w:ind w:left="359"/>
              <w:rPr>
                <w:b/>
                <w:sz w:val="24"/>
              </w:rPr>
            </w:pPr>
            <w:r>
              <w:rPr>
                <w:b/>
                <w:sz w:val="24"/>
              </w:rPr>
              <w:t>AVP (Administration) and CFO</w:t>
            </w:r>
          </w:p>
        </w:tc>
        <w:tc>
          <w:tcPr>
            <w:tcW w:w="5317" w:type="dxa"/>
          </w:tcPr>
          <w:p w14:paraId="6C838E87" w14:textId="77777777" w:rsidR="000D106B" w:rsidRDefault="00EE56C6">
            <w:pPr>
              <w:pStyle w:val="TableParagraph"/>
              <w:spacing w:line="267" w:lineRule="exact"/>
              <w:rPr>
                <w:sz w:val="24"/>
              </w:rPr>
            </w:pPr>
            <w:r>
              <w:rPr>
                <w:sz w:val="24"/>
              </w:rPr>
              <w:t>Enquiries:</w:t>
            </w:r>
          </w:p>
          <w:p w14:paraId="0DFFB6CD" w14:textId="77777777" w:rsidR="000D106B" w:rsidRDefault="005D7D0E">
            <w:pPr>
              <w:pStyle w:val="TableParagraph"/>
              <w:spacing w:line="273" w:lineRule="exact"/>
              <w:ind w:left="400"/>
              <w:rPr>
                <w:b/>
                <w:sz w:val="24"/>
              </w:rPr>
            </w:pPr>
            <w:hyperlink r:id="rId8">
              <w:r w:rsidR="00EE56C6">
                <w:rPr>
                  <w:b/>
                  <w:color w:val="0000FF"/>
                  <w:sz w:val="24"/>
                  <w:u w:val="thick" w:color="0000FF"/>
                </w:rPr>
                <w:t>macpay@mcmaster.ca</w:t>
              </w:r>
            </w:hyperlink>
          </w:p>
        </w:tc>
      </w:tr>
      <w:tr w:rsidR="000D106B" w14:paraId="32E4C609" w14:textId="77777777">
        <w:trPr>
          <w:trHeight w:val="724"/>
        </w:trPr>
        <w:tc>
          <w:tcPr>
            <w:tcW w:w="9746" w:type="dxa"/>
            <w:gridSpan w:val="2"/>
          </w:tcPr>
          <w:p w14:paraId="7B1A16AC" w14:textId="77777777" w:rsidR="000D106B" w:rsidRDefault="00EE56C6">
            <w:pPr>
              <w:pStyle w:val="TableParagraph"/>
              <w:tabs>
                <w:tab w:val="left" w:pos="1749"/>
              </w:tabs>
              <w:spacing w:before="5" w:line="235" w:lineRule="auto"/>
              <w:ind w:left="1763" w:right="1442" w:hanging="1652"/>
              <w:rPr>
                <w:i/>
                <w:sz w:val="24"/>
              </w:rPr>
            </w:pPr>
            <w:r>
              <w:rPr>
                <w:b/>
                <w:i/>
                <w:sz w:val="24"/>
              </w:rPr>
              <w:t>DISCLAIMER:</w:t>
            </w:r>
            <w:r>
              <w:rPr>
                <w:b/>
                <w:i/>
                <w:sz w:val="24"/>
              </w:rPr>
              <w:tab/>
            </w:r>
            <w:r>
              <w:rPr>
                <w:i/>
                <w:sz w:val="24"/>
              </w:rPr>
              <w:t>If there is a Discrepancy between this electronic policy and the written copy held by the policy owner, the written copy</w:t>
            </w:r>
            <w:r>
              <w:rPr>
                <w:i/>
                <w:spacing w:val="-19"/>
                <w:sz w:val="24"/>
              </w:rPr>
              <w:t xml:space="preserve"> </w:t>
            </w:r>
            <w:r>
              <w:rPr>
                <w:i/>
                <w:sz w:val="24"/>
              </w:rPr>
              <w:t>prevails</w:t>
            </w:r>
          </w:p>
        </w:tc>
      </w:tr>
    </w:tbl>
    <w:p w14:paraId="0D8E235C" w14:textId="77777777" w:rsidR="000D106B" w:rsidRDefault="000D106B">
      <w:pPr>
        <w:pStyle w:val="BodyText"/>
        <w:spacing w:before="10"/>
        <w:rPr>
          <w:rFonts w:ascii="Arial Narrow"/>
          <w:b/>
        </w:rPr>
      </w:pPr>
    </w:p>
    <w:p w14:paraId="20EF3CF7" w14:textId="77777777" w:rsidR="000D106B" w:rsidRDefault="00EE56C6">
      <w:pPr>
        <w:spacing w:before="91"/>
        <w:ind w:left="100"/>
        <w:rPr>
          <w:b/>
        </w:rPr>
      </w:pPr>
      <w:r>
        <w:rPr>
          <w:b/>
        </w:rPr>
        <w:t>SCOPE</w:t>
      </w:r>
    </w:p>
    <w:p w14:paraId="1502A095" w14:textId="77777777" w:rsidR="000D106B" w:rsidRDefault="000D106B">
      <w:pPr>
        <w:pStyle w:val="BodyText"/>
        <w:spacing w:before="7"/>
        <w:rPr>
          <w:b/>
          <w:sz w:val="20"/>
        </w:rPr>
      </w:pPr>
    </w:p>
    <w:p w14:paraId="20D7273B" w14:textId="6D7EEB53" w:rsidR="000D106B" w:rsidRDefault="006D10BF">
      <w:pPr>
        <w:pStyle w:val="BodyText"/>
        <w:ind w:left="324" w:right="353"/>
      </w:pPr>
      <w:r>
        <w:rPr>
          <w:noProof/>
          <w:lang w:bidi="ar-SA"/>
        </w:rPr>
        <mc:AlternateContent>
          <mc:Choice Requires="wps">
            <w:drawing>
              <wp:anchor distT="0" distB="0" distL="114300" distR="114300" simplePos="0" relativeHeight="251657728" behindDoc="1" locked="0" layoutInCell="1" allowOverlap="1" wp14:anchorId="44B74D1B" wp14:editId="3BF2ACE5">
                <wp:simplePos x="0" y="0"/>
                <wp:positionH relativeFrom="page">
                  <wp:posOffset>3890010</wp:posOffset>
                </wp:positionH>
                <wp:positionV relativeFrom="paragraph">
                  <wp:posOffset>465455</wp:posOffset>
                </wp:positionV>
                <wp:extent cx="34925" cy="6350"/>
                <wp:effectExtent l="3810" t="1270" r="0" b="19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306.3pt;margin-top:36.65pt;width:2.7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ue" stroked="f" w14:anchorId="44F9E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8n+wEAANcDAAAOAAAAZHJzL2Uyb0RvYy54bWysU9uO0zAQfUfiHyy/0/S6y0ZNV6uuipAW&#10;WLHwAVPHaSwcjxm7TZevZ+x0S4E3RB4sj2fm5Jzj8fL22Flx0BQMukpORmMptFNYG7er5Ncvmzdv&#10;pQgRXA0Wna7ksw7ydvX61bL3pZ5ii7bWJBjEhbL3lWxj9GVRBNXqDsIIvXacbJA6iBzSrqgJekbv&#10;bDEdj6+KHqn2hEqHwKf3Q1KuMn7TaBU/NU3QUdhKMreYV8rrNq3FagnljsC3Rp1owD+w6MA4/ukZ&#10;6h4iiD2Zv6A6owgDNnGksCuwaYzSWQOrmYz/UPPUgtdZC5sT/Nmm8P9g1cfDIwlTV/JaCgcdX9Fn&#10;Ng3czmoxS/b0PpRc9eQfKQkM/gHVtyAcrluu0ndE2LcaaiY1SfXFbw0pCNwqtv0HrBkd9hGzU8eG&#10;ugTIHohjvpDn84XoYxSKD2fzm+lCCsWZq9ki31YB5UunpxDfaexE2lSSmHdGhsNDiIkJlC8lmTla&#10;U2+MtTmg3XZtSRwgDQZ/m00mzwIvy6xLxQ5T24CYTrLEpGpwZ4v1MyskHKaLXwNvWqQfUvQ8WZUM&#10;3/dAWgr73rFLN5P5PI1iDuaL6ykHdJnZXmbAKYaqZJRi2K7jML57T2bX8p8mWbTDO3a2MVl4cn1g&#10;dSLL05P9OE16Gs/LOFf9eo+rnwAAAP//AwBQSwMEFAAGAAgAAAAhAPJZfBDdAAAACQEAAA8AAABk&#10;cnMvZG93bnJldi54bWxMj7FOwzAQhnck3sE6JDbqpEZulcapUKVMLDTtwHiNTRI1Plux24S3x0ww&#10;3t2n/76/3C92ZHczhcGRgnyVATPUOj1Qp+B8ql+2wEJE0jg6Mgq+TYB99fhQYqHdTEdzb2LHUgiF&#10;AhX0MfqC89D2xmJYOW8o3b7cZDGmceq4nnBO4Xbk6yyT3OJA6UOP3hx6016bm1XgD/MJ6w9dfx6t&#10;k8KL93ZoNko9Py1vO2DRLPEPhl/9pA5Vcrq4G+nARgUyX8uEKtgIASwBMt/mwC5p8SqAVyX/36D6&#10;AQAA//8DAFBLAQItABQABgAIAAAAIQC2gziS/gAAAOEBAAATAAAAAAAAAAAAAAAAAAAAAABbQ29u&#10;dGVudF9UeXBlc10ueG1sUEsBAi0AFAAGAAgAAAAhADj9If/WAAAAlAEAAAsAAAAAAAAAAAAAAAAA&#10;LwEAAF9yZWxzLy5yZWxzUEsBAi0AFAAGAAgAAAAhACUwnyf7AQAA1wMAAA4AAAAAAAAAAAAAAAAA&#10;LgIAAGRycy9lMm9Eb2MueG1sUEsBAi0AFAAGAAgAAAAhAPJZfBDdAAAACQEAAA8AAAAAAAAAAAAA&#10;AAAAVQQAAGRycy9kb3ducmV2LnhtbFBLBQYAAAAABAAEAPMAAABfBQAAAAA=&#10;">
                <w10:wrap anchorx="page"/>
              </v:rect>
            </w:pict>
          </mc:Fallback>
        </mc:AlternateContent>
      </w:r>
      <w:r w:rsidR="00EE56C6">
        <w:t>This</w:t>
      </w:r>
      <w:r w:rsidR="00EE56C6">
        <w:rPr>
          <w:spacing w:val="-11"/>
        </w:rPr>
        <w:t xml:space="preserve"> </w:t>
      </w:r>
      <w:r w:rsidR="00EE56C6">
        <w:t>Policy</w:t>
      </w:r>
      <w:r w:rsidR="00EE56C6">
        <w:rPr>
          <w:spacing w:val="-16"/>
        </w:rPr>
        <w:t xml:space="preserve"> </w:t>
      </w:r>
      <w:r w:rsidR="00EE56C6">
        <w:t>applies</w:t>
      </w:r>
      <w:r w:rsidR="00EE56C6">
        <w:rPr>
          <w:spacing w:val="-11"/>
        </w:rPr>
        <w:t xml:space="preserve"> </w:t>
      </w:r>
      <w:r w:rsidR="00EE56C6">
        <w:t>to</w:t>
      </w:r>
      <w:r w:rsidR="00EE56C6">
        <w:rPr>
          <w:spacing w:val="-11"/>
        </w:rPr>
        <w:t xml:space="preserve"> </w:t>
      </w:r>
      <w:r w:rsidR="00EE56C6">
        <w:t>billing</w:t>
      </w:r>
      <w:r w:rsidR="00EE56C6">
        <w:rPr>
          <w:spacing w:val="-13"/>
        </w:rPr>
        <w:t xml:space="preserve"> </w:t>
      </w:r>
      <w:r w:rsidR="00EE56C6">
        <w:t>and</w:t>
      </w:r>
      <w:r w:rsidR="00EE56C6">
        <w:rPr>
          <w:spacing w:val="-12"/>
        </w:rPr>
        <w:t xml:space="preserve"> </w:t>
      </w:r>
      <w:r w:rsidR="00EE56C6">
        <w:t>accounts</w:t>
      </w:r>
      <w:r w:rsidR="00EE56C6">
        <w:rPr>
          <w:spacing w:val="-11"/>
        </w:rPr>
        <w:t xml:space="preserve"> </w:t>
      </w:r>
      <w:r w:rsidR="00EE56C6">
        <w:t>receivable</w:t>
      </w:r>
      <w:r w:rsidR="00EE56C6">
        <w:rPr>
          <w:spacing w:val="-10"/>
        </w:rPr>
        <w:t xml:space="preserve"> </w:t>
      </w:r>
      <w:r w:rsidR="00EE56C6">
        <w:t>of</w:t>
      </w:r>
      <w:r w:rsidR="00EE56C6">
        <w:rPr>
          <w:spacing w:val="-10"/>
        </w:rPr>
        <w:t xml:space="preserve"> </w:t>
      </w:r>
      <w:r w:rsidR="00EE56C6">
        <w:t>the</w:t>
      </w:r>
      <w:r w:rsidR="00EE56C6">
        <w:rPr>
          <w:spacing w:val="-9"/>
        </w:rPr>
        <w:t xml:space="preserve"> </w:t>
      </w:r>
      <w:r w:rsidR="00EE56C6">
        <w:t>University</w:t>
      </w:r>
      <w:r w:rsidR="00EE56C6">
        <w:rPr>
          <w:spacing w:val="-13"/>
        </w:rPr>
        <w:t xml:space="preserve"> </w:t>
      </w:r>
      <w:r w:rsidR="00EE56C6">
        <w:t>(including</w:t>
      </w:r>
      <w:r w:rsidR="00EE56C6">
        <w:rPr>
          <w:spacing w:val="-16"/>
        </w:rPr>
        <w:t xml:space="preserve"> </w:t>
      </w:r>
      <w:r w:rsidR="00EE56C6">
        <w:t>research)</w:t>
      </w:r>
      <w:r w:rsidR="00EE56C6">
        <w:rPr>
          <w:spacing w:val="-7"/>
        </w:rPr>
        <w:t xml:space="preserve"> </w:t>
      </w:r>
      <w:r w:rsidR="00EE56C6">
        <w:t>except</w:t>
      </w:r>
      <w:r w:rsidR="00EE56C6">
        <w:rPr>
          <w:spacing w:val="-10"/>
        </w:rPr>
        <w:t xml:space="preserve"> </w:t>
      </w:r>
      <w:r w:rsidR="00EE56C6">
        <w:t>for</w:t>
      </w:r>
      <w:r w:rsidR="00EE56C6">
        <w:rPr>
          <w:spacing w:val="-10"/>
        </w:rPr>
        <w:t xml:space="preserve"> </w:t>
      </w:r>
      <w:r w:rsidR="00EE56C6">
        <w:t>fees</w:t>
      </w:r>
      <w:r w:rsidR="00EE56C6">
        <w:rPr>
          <w:spacing w:val="-11"/>
        </w:rPr>
        <w:t xml:space="preserve"> </w:t>
      </w:r>
      <w:r w:rsidR="00EE56C6">
        <w:t>and miscellaneous charges associated with students. Internal billings are not covered by this policy, as they are handled by Journal Entry and addressed in that policy. https://financial- affairs.mcmaster.ca/app/uploads/2018/07/Accounts-Receivable-and-Billing-Non-Student_MacBill_april- 2018.pdf</w:t>
      </w:r>
      <w:r w:rsidR="005D7D0E">
        <w:t xml:space="preserve"> </w:t>
      </w:r>
    </w:p>
    <w:p w14:paraId="7908D7A0" w14:textId="77777777" w:rsidR="000D106B" w:rsidRDefault="000D106B">
      <w:pPr>
        <w:pStyle w:val="BodyText"/>
        <w:spacing w:before="8"/>
        <w:rPr>
          <w:sz w:val="31"/>
        </w:rPr>
      </w:pPr>
    </w:p>
    <w:p w14:paraId="6345031E" w14:textId="77777777" w:rsidR="000D106B" w:rsidRDefault="00EE56C6">
      <w:pPr>
        <w:ind w:left="100"/>
        <w:rPr>
          <w:b/>
        </w:rPr>
      </w:pPr>
      <w:r>
        <w:rPr>
          <w:b/>
        </w:rPr>
        <w:t>POLICY OBJECTIVES</w:t>
      </w:r>
    </w:p>
    <w:p w14:paraId="6995889D" w14:textId="77777777" w:rsidR="000D106B" w:rsidRDefault="000D106B">
      <w:pPr>
        <w:pStyle w:val="BodyText"/>
        <w:spacing w:before="4"/>
        <w:rPr>
          <w:b/>
          <w:sz w:val="20"/>
        </w:rPr>
      </w:pPr>
    </w:p>
    <w:p w14:paraId="28A6CC66" w14:textId="77777777" w:rsidR="000D106B" w:rsidRDefault="00EE56C6">
      <w:pPr>
        <w:pStyle w:val="BodyText"/>
        <w:spacing w:before="1"/>
        <w:ind w:left="324"/>
      </w:pPr>
      <w:r>
        <w:t>The objectives of this policy are:</w:t>
      </w:r>
    </w:p>
    <w:p w14:paraId="21FC24F8" w14:textId="77777777" w:rsidR="000D106B" w:rsidRDefault="00EE56C6">
      <w:pPr>
        <w:pStyle w:val="ListParagraph"/>
        <w:numPr>
          <w:ilvl w:val="0"/>
          <w:numId w:val="4"/>
        </w:numPr>
        <w:tabs>
          <w:tab w:val="left" w:pos="1044"/>
          <w:tab w:val="left" w:pos="1045"/>
        </w:tabs>
        <w:spacing w:before="88" w:line="269" w:lineRule="exact"/>
      </w:pPr>
      <w:r>
        <w:t>To document policies by which credit is extended to customers of the</w:t>
      </w:r>
      <w:r>
        <w:rPr>
          <w:spacing w:val="-15"/>
        </w:rPr>
        <w:t xml:space="preserve"> </w:t>
      </w:r>
      <w:proofErr w:type="gramStart"/>
      <w:r>
        <w:t>university;</w:t>
      </w:r>
      <w:proofErr w:type="gramEnd"/>
    </w:p>
    <w:p w14:paraId="6123159C" w14:textId="77777777" w:rsidR="000D106B" w:rsidRDefault="00EE56C6">
      <w:pPr>
        <w:pStyle w:val="ListParagraph"/>
        <w:numPr>
          <w:ilvl w:val="0"/>
          <w:numId w:val="4"/>
        </w:numPr>
        <w:tabs>
          <w:tab w:val="left" w:pos="1044"/>
          <w:tab w:val="left" w:pos="1045"/>
        </w:tabs>
        <w:spacing w:line="269" w:lineRule="exact"/>
      </w:pPr>
      <w:r>
        <w:t>To manage the extension of credit within the various departments of the</w:t>
      </w:r>
      <w:r>
        <w:rPr>
          <w:spacing w:val="-17"/>
        </w:rPr>
        <w:t xml:space="preserve"> </w:t>
      </w:r>
      <w:r>
        <w:t>university</w:t>
      </w:r>
    </w:p>
    <w:p w14:paraId="1A00E182" w14:textId="77777777" w:rsidR="000D106B" w:rsidRDefault="00EE56C6">
      <w:pPr>
        <w:pStyle w:val="ListParagraph"/>
        <w:numPr>
          <w:ilvl w:val="0"/>
          <w:numId w:val="4"/>
        </w:numPr>
        <w:tabs>
          <w:tab w:val="left" w:pos="1044"/>
          <w:tab w:val="left" w:pos="1045"/>
        </w:tabs>
        <w:spacing w:before="2" w:line="269" w:lineRule="exact"/>
      </w:pPr>
      <w:r>
        <w:t>To outline the policy for invoicing, revenue recognition, and</w:t>
      </w:r>
      <w:r>
        <w:rPr>
          <w:spacing w:val="-10"/>
        </w:rPr>
        <w:t xml:space="preserve"> </w:t>
      </w:r>
      <w:r>
        <w:t>balancing</w:t>
      </w:r>
    </w:p>
    <w:p w14:paraId="2ED7F7EB" w14:textId="77777777" w:rsidR="000D106B" w:rsidRDefault="00EE56C6">
      <w:pPr>
        <w:pStyle w:val="ListParagraph"/>
        <w:numPr>
          <w:ilvl w:val="0"/>
          <w:numId w:val="4"/>
        </w:numPr>
        <w:tabs>
          <w:tab w:val="left" w:pos="1044"/>
          <w:tab w:val="left" w:pos="1045"/>
        </w:tabs>
        <w:spacing w:line="269" w:lineRule="exact"/>
      </w:pPr>
      <w:r>
        <w:t>To outline the responsibilities for collection of accounts</w:t>
      </w:r>
      <w:r>
        <w:rPr>
          <w:spacing w:val="-11"/>
        </w:rPr>
        <w:t xml:space="preserve"> </w:t>
      </w:r>
      <w:r>
        <w:t>receivable</w:t>
      </w:r>
    </w:p>
    <w:p w14:paraId="2E4EB4FC" w14:textId="77777777" w:rsidR="000D106B" w:rsidRDefault="00EE56C6">
      <w:pPr>
        <w:pStyle w:val="ListParagraph"/>
        <w:numPr>
          <w:ilvl w:val="0"/>
          <w:numId w:val="4"/>
        </w:numPr>
        <w:tabs>
          <w:tab w:val="left" w:pos="1044"/>
          <w:tab w:val="left" w:pos="1045"/>
        </w:tabs>
        <w:spacing w:line="269" w:lineRule="exact"/>
      </w:pPr>
      <w:r>
        <w:t>To document the responsibilities for uncollectible</w:t>
      </w:r>
      <w:r>
        <w:rPr>
          <w:spacing w:val="2"/>
        </w:rPr>
        <w:t xml:space="preserve"> </w:t>
      </w:r>
      <w:r>
        <w:t>accounts</w:t>
      </w:r>
    </w:p>
    <w:p w14:paraId="1C81ED62" w14:textId="77777777" w:rsidR="000D106B" w:rsidRDefault="000D106B">
      <w:pPr>
        <w:pStyle w:val="BodyText"/>
        <w:spacing w:before="10"/>
        <w:rPr>
          <w:sz w:val="31"/>
        </w:rPr>
      </w:pPr>
    </w:p>
    <w:p w14:paraId="3F7C872B" w14:textId="77777777" w:rsidR="000D106B" w:rsidRDefault="00EE56C6">
      <w:pPr>
        <w:ind w:left="100"/>
        <w:rPr>
          <w:b/>
        </w:rPr>
      </w:pPr>
      <w:r>
        <w:rPr>
          <w:b/>
        </w:rPr>
        <w:t>EXTENDING CREDIT</w:t>
      </w:r>
    </w:p>
    <w:p w14:paraId="275A49CD" w14:textId="77777777" w:rsidR="000D106B" w:rsidRDefault="000D106B">
      <w:pPr>
        <w:pStyle w:val="BodyText"/>
        <w:spacing w:before="1"/>
        <w:rPr>
          <w:b/>
          <w:sz w:val="24"/>
        </w:rPr>
      </w:pPr>
    </w:p>
    <w:p w14:paraId="4DCDF465" w14:textId="77777777" w:rsidR="000D106B" w:rsidRDefault="00EE56C6">
      <w:pPr>
        <w:spacing w:before="1"/>
        <w:ind w:left="100" w:right="88"/>
        <w:rPr>
          <w:sz w:val="24"/>
        </w:rPr>
      </w:pPr>
      <w:r>
        <w:rPr>
          <w:sz w:val="24"/>
        </w:rPr>
        <w:t xml:space="preserve">The decision for extending credit to customers of the University lies with the </w:t>
      </w:r>
      <w:proofErr w:type="gramStart"/>
      <w:r>
        <w:rPr>
          <w:sz w:val="24"/>
        </w:rPr>
        <w:t>Faculty</w:t>
      </w:r>
      <w:proofErr w:type="gramEnd"/>
      <w:r>
        <w:rPr>
          <w:sz w:val="24"/>
        </w:rPr>
        <w:t xml:space="preserve"> and/or support unit. It is important that billing areas be aware that there is a cost related to this decision as well as risks and ways of minimizing each.</w:t>
      </w:r>
    </w:p>
    <w:p w14:paraId="7125A5FF" w14:textId="77777777" w:rsidR="000D106B" w:rsidRDefault="000D106B">
      <w:pPr>
        <w:pStyle w:val="BodyText"/>
        <w:spacing w:before="7"/>
        <w:rPr>
          <w:sz w:val="24"/>
        </w:rPr>
      </w:pPr>
    </w:p>
    <w:p w14:paraId="4C5E29A3" w14:textId="77777777" w:rsidR="000D106B" w:rsidRDefault="00EE56C6">
      <w:pPr>
        <w:ind w:left="100"/>
        <w:rPr>
          <w:b/>
          <w:sz w:val="24"/>
        </w:rPr>
      </w:pPr>
      <w:r>
        <w:rPr>
          <w:b/>
          <w:sz w:val="24"/>
        </w:rPr>
        <w:t>University policies when extending credit are as follows:</w:t>
      </w:r>
    </w:p>
    <w:p w14:paraId="537031BF" w14:textId="77777777" w:rsidR="000D106B" w:rsidRDefault="000D106B">
      <w:pPr>
        <w:pStyle w:val="BodyText"/>
        <w:spacing w:before="9"/>
        <w:rPr>
          <w:b/>
          <w:sz w:val="23"/>
        </w:rPr>
      </w:pPr>
    </w:p>
    <w:p w14:paraId="12315CEF" w14:textId="77777777" w:rsidR="000D106B" w:rsidRDefault="00EE56C6">
      <w:pPr>
        <w:pStyle w:val="ListParagraph"/>
        <w:numPr>
          <w:ilvl w:val="0"/>
          <w:numId w:val="3"/>
        </w:numPr>
        <w:tabs>
          <w:tab w:val="left" w:pos="821"/>
          <w:tab w:val="left" w:pos="822"/>
        </w:tabs>
        <w:rPr>
          <w:sz w:val="24"/>
        </w:rPr>
      </w:pPr>
      <w:r>
        <w:rPr>
          <w:sz w:val="24"/>
        </w:rPr>
        <w:t>Grant credit only to customers who have established their credit worthiness (as outlined</w:t>
      </w:r>
      <w:r>
        <w:rPr>
          <w:spacing w:val="-20"/>
          <w:sz w:val="24"/>
        </w:rPr>
        <w:t xml:space="preserve"> </w:t>
      </w:r>
      <w:r>
        <w:rPr>
          <w:sz w:val="24"/>
        </w:rPr>
        <w:t>below)</w:t>
      </w:r>
    </w:p>
    <w:p w14:paraId="0AC6E98F" w14:textId="77777777" w:rsidR="000D106B" w:rsidRDefault="000D106B">
      <w:pPr>
        <w:rPr>
          <w:sz w:val="24"/>
        </w:rPr>
        <w:sectPr w:rsidR="000D106B">
          <w:type w:val="continuous"/>
          <w:pgSz w:w="12240" w:h="15840"/>
          <w:pgMar w:top="840" w:right="960" w:bottom="280" w:left="960" w:header="720" w:footer="720" w:gutter="0"/>
          <w:cols w:space="720"/>
        </w:sectPr>
      </w:pPr>
    </w:p>
    <w:p w14:paraId="0BFAD74A" w14:textId="77777777" w:rsidR="000D106B" w:rsidRDefault="00EE56C6">
      <w:pPr>
        <w:pStyle w:val="ListParagraph"/>
        <w:numPr>
          <w:ilvl w:val="0"/>
          <w:numId w:val="3"/>
        </w:numPr>
        <w:tabs>
          <w:tab w:val="left" w:pos="822"/>
        </w:tabs>
        <w:spacing w:before="151"/>
        <w:ind w:right="166"/>
        <w:jc w:val="both"/>
        <w:rPr>
          <w:sz w:val="24"/>
        </w:rPr>
      </w:pPr>
      <w:r>
        <w:rPr>
          <w:sz w:val="24"/>
        </w:rPr>
        <w:lastRenderedPageBreak/>
        <w:t xml:space="preserve">Obtain a signed agreement, </w:t>
      </w:r>
      <w:proofErr w:type="gramStart"/>
      <w:r>
        <w:rPr>
          <w:sz w:val="24"/>
        </w:rPr>
        <w:t>i.e.</w:t>
      </w:r>
      <w:proofErr w:type="gramEnd"/>
      <w:r>
        <w:rPr>
          <w:sz w:val="24"/>
        </w:rPr>
        <w:t xml:space="preserve"> work/purchase order, from the customer prior to providing goods or services. Through this practice, misunderstandings about the nature and cost of the service can be avoided. Such misunderstandings are frequently the cause of collection</w:t>
      </w:r>
      <w:r>
        <w:rPr>
          <w:spacing w:val="-10"/>
          <w:sz w:val="24"/>
        </w:rPr>
        <w:t xml:space="preserve"> </w:t>
      </w:r>
      <w:proofErr w:type="gramStart"/>
      <w:r>
        <w:rPr>
          <w:sz w:val="24"/>
        </w:rPr>
        <w:t>problems;</w:t>
      </w:r>
      <w:proofErr w:type="gramEnd"/>
    </w:p>
    <w:p w14:paraId="3121D82C" w14:textId="77777777" w:rsidR="000D106B" w:rsidRDefault="00EE56C6">
      <w:pPr>
        <w:pStyle w:val="ListParagraph"/>
        <w:numPr>
          <w:ilvl w:val="0"/>
          <w:numId w:val="3"/>
        </w:numPr>
        <w:tabs>
          <w:tab w:val="left" w:pos="821"/>
          <w:tab w:val="left" w:pos="822"/>
        </w:tabs>
        <w:spacing w:before="1"/>
        <w:rPr>
          <w:sz w:val="24"/>
        </w:rPr>
      </w:pPr>
      <w:r>
        <w:rPr>
          <w:sz w:val="24"/>
        </w:rPr>
        <w:t>Issue invoices promptly upon delivery of</w:t>
      </w:r>
      <w:r>
        <w:rPr>
          <w:spacing w:val="-18"/>
          <w:sz w:val="24"/>
        </w:rPr>
        <w:t xml:space="preserve"> </w:t>
      </w:r>
      <w:proofErr w:type="gramStart"/>
      <w:r>
        <w:rPr>
          <w:sz w:val="24"/>
        </w:rPr>
        <w:t>service;</w:t>
      </w:r>
      <w:proofErr w:type="gramEnd"/>
    </w:p>
    <w:p w14:paraId="7A6EE2DA" w14:textId="77777777" w:rsidR="000D106B" w:rsidRDefault="00EE56C6">
      <w:pPr>
        <w:pStyle w:val="ListParagraph"/>
        <w:numPr>
          <w:ilvl w:val="0"/>
          <w:numId w:val="3"/>
        </w:numPr>
        <w:tabs>
          <w:tab w:val="left" w:pos="821"/>
          <w:tab w:val="left" w:pos="822"/>
        </w:tabs>
        <w:ind w:right="287"/>
        <w:rPr>
          <w:sz w:val="24"/>
        </w:rPr>
      </w:pPr>
      <w:r>
        <w:rPr>
          <w:sz w:val="24"/>
        </w:rPr>
        <w:t xml:space="preserve">Issue instalment invoices over the year, preferably with an advance at the beginning of the period. This is most appropriate in the case of expense recoveries, </w:t>
      </w:r>
      <w:proofErr w:type="gramStart"/>
      <w:r>
        <w:rPr>
          <w:sz w:val="24"/>
        </w:rPr>
        <w:t>e.g.</w:t>
      </w:r>
      <w:proofErr w:type="gramEnd"/>
      <w:r>
        <w:rPr>
          <w:sz w:val="24"/>
        </w:rPr>
        <w:t xml:space="preserve"> recoveries of a portion</w:t>
      </w:r>
      <w:r>
        <w:rPr>
          <w:spacing w:val="-26"/>
          <w:sz w:val="24"/>
        </w:rPr>
        <w:t xml:space="preserve"> </w:t>
      </w:r>
      <w:r>
        <w:rPr>
          <w:sz w:val="24"/>
        </w:rPr>
        <w:t>of salaries;</w:t>
      </w:r>
    </w:p>
    <w:p w14:paraId="0B01C15B" w14:textId="77777777" w:rsidR="000D106B" w:rsidRDefault="00EE56C6">
      <w:pPr>
        <w:pStyle w:val="ListParagraph"/>
        <w:numPr>
          <w:ilvl w:val="0"/>
          <w:numId w:val="3"/>
        </w:numPr>
        <w:tabs>
          <w:tab w:val="left" w:pos="821"/>
          <w:tab w:val="left" w:pos="822"/>
        </w:tabs>
        <w:ind w:right="1309"/>
        <w:rPr>
          <w:sz w:val="24"/>
        </w:rPr>
      </w:pPr>
      <w:r>
        <w:rPr>
          <w:sz w:val="24"/>
        </w:rPr>
        <w:t>Actively pursue collection of accounts receivable if the account is not paid within</w:t>
      </w:r>
      <w:r>
        <w:rPr>
          <w:spacing w:val="-15"/>
          <w:sz w:val="24"/>
        </w:rPr>
        <w:t xml:space="preserve"> </w:t>
      </w:r>
      <w:r>
        <w:rPr>
          <w:sz w:val="24"/>
        </w:rPr>
        <w:t>the terms of payment specified on the</w:t>
      </w:r>
      <w:r>
        <w:rPr>
          <w:spacing w:val="-3"/>
          <w:sz w:val="24"/>
        </w:rPr>
        <w:t xml:space="preserve"> </w:t>
      </w:r>
      <w:r>
        <w:rPr>
          <w:sz w:val="24"/>
        </w:rPr>
        <w:t>invoice.</w:t>
      </w:r>
    </w:p>
    <w:p w14:paraId="5D6372C9" w14:textId="77777777" w:rsidR="000D106B" w:rsidRDefault="000D106B">
      <w:pPr>
        <w:pStyle w:val="BodyText"/>
        <w:spacing w:before="9"/>
        <w:rPr>
          <w:sz w:val="24"/>
        </w:rPr>
      </w:pPr>
    </w:p>
    <w:p w14:paraId="4B3761BC" w14:textId="77777777" w:rsidR="000D106B" w:rsidRDefault="00EE56C6">
      <w:pPr>
        <w:ind w:left="161"/>
        <w:rPr>
          <w:b/>
          <w:sz w:val="24"/>
        </w:rPr>
      </w:pPr>
      <w:r>
        <w:rPr>
          <w:b/>
          <w:sz w:val="24"/>
        </w:rPr>
        <w:t>Evaluating credit worthiness</w:t>
      </w:r>
    </w:p>
    <w:p w14:paraId="26AD4589" w14:textId="77777777" w:rsidR="000D106B" w:rsidRDefault="000D106B">
      <w:pPr>
        <w:pStyle w:val="BodyText"/>
        <w:rPr>
          <w:b/>
          <w:sz w:val="26"/>
        </w:rPr>
      </w:pPr>
    </w:p>
    <w:p w14:paraId="6051633F" w14:textId="77777777" w:rsidR="000D106B" w:rsidRDefault="000D106B">
      <w:pPr>
        <w:pStyle w:val="BodyText"/>
        <w:spacing w:before="3"/>
        <w:rPr>
          <w:b/>
        </w:rPr>
      </w:pPr>
    </w:p>
    <w:p w14:paraId="2D5956DB" w14:textId="77777777" w:rsidR="000D106B" w:rsidRDefault="00EE56C6">
      <w:pPr>
        <w:pStyle w:val="ListParagraph"/>
        <w:numPr>
          <w:ilvl w:val="0"/>
          <w:numId w:val="3"/>
        </w:numPr>
        <w:tabs>
          <w:tab w:val="left" w:pos="881"/>
          <w:tab w:val="left" w:pos="882"/>
        </w:tabs>
        <w:ind w:left="881" w:hanging="420"/>
        <w:rPr>
          <w:sz w:val="24"/>
        </w:rPr>
      </w:pPr>
      <w:r>
        <w:rPr>
          <w:sz w:val="24"/>
        </w:rPr>
        <w:t>Credit worthy customers have one or more of the following</w:t>
      </w:r>
      <w:r>
        <w:rPr>
          <w:spacing w:val="-17"/>
          <w:sz w:val="24"/>
        </w:rPr>
        <w:t xml:space="preserve"> </w:t>
      </w:r>
      <w:r>
        <w:rPr>
          <w:sz w:val="24"/>
        </w:rPr>
        <w:t>characteristics:</w:t>
      </w:r>
    </w:p>
    <w:p w14:paraId="5765E9C5" w14:textId="77777777" w:rsidR="000D106B" w:rsidRDefault="00EE56C6">
      <w:pPr>
        <w:pStyle w:val="ListParagraph"/>
        <w:numPr>
          <w:ilvl w:val="1"/>
          <w:numId w:val="3"/>
        </w:numPr>
        <w:tabs>
          <w:tab w:val="left" w:pos="1541"/>
          <w:tab w:val="left" w:pos="1542"/>
        </w:tabs>
        <w:spacing w:line="280" w:lineRule="exact"/>
        <w:rPr>
          <w:sz w:val="24"/>
        </w:rPr>
      </w:pPr>
      <w:r>
        <w:rPr>
          <w:sz w:val="24"/>
        </w:rPr>
        <w:t>high profile entities with well established business</w:t>
      </w:r>
      <w:r>
        <w:rPr>
          <w:spacing w:val="-1"/>
          <w:sz w:val="24"/>
        </w:rPr>
        <w:t xml:space="preserve"> </w:t>
      </w:r>
      <w:proofErr w:type="gramStart"/>
      <w:r>
        <w:rPr>
          <w:sz w:val="24"/>
        </w:rPr>
        <w:t>reputations;</w:t>
      </w:r>
      <w:proofErr w:type="gramEnd"/>
    </w:p>
    <w:p w14:paraId="7BC61F14" w14:textId="77777777" w:rsidR="000D106B" w:rsidRDefault="00EE56C6">
      <w:pPr>
        <w:pStyle w:val="ListParagraph"/>
        <w:numPr>
          <w:ilvl w:val="1"/>
          <w:numId w:val="3"/>
        </w:numPr>
        <w:tabs>
          <w:tab w:val="left" w:pos="1541"/>
          <w:tab w:val="left" w:pos="1542"/>
        </w:tabs>
        <w:spacing w:line="276" w:lineRule="exact"/>
        <w:rPr>
          <w:sz w:val="24"/>
        </w:rPr>
      </w:pPr>
      <w:r>
        <w:rPr>
          <w:sz w:val="24"/>
        </w:rPr>
        <w:t>entities with whom the department has had successful previous dealings;</w:t>
      </w:r>
      <w:r>
        <w:rPr>
          <w:spacing w:val="-5"/>
          <w:sz w:val="24"/>
        </w:rPr>
        <w:t xml:space="preserve"> </w:t>
      </w:r>
      <w:r>
        <w:rPr>
          <w:sz w:val="24"/>
        </w:rPr>
        <w:t>and</w:t>
      </w:r>
    </w:p>
    <w:p w14:paraId="7AA32D69" w14:textId="77777777" w:rsidR="000D106B" w:rsidRDefault="00EE56C6">
      <w:pPr>
        <w:pStyle w:val="ListParagraph"/>
        <w:numPr>
          <w:ilvl w:val="1"/>
          <w:numId w:val="3"/>
        </w:numPr>
        <w:tabs>
          <w:tab w:val="left" w:pos="1541"/>
          <w:tab w:val="left" w:pos="1542"/>
        </w:tabs>
        <w:spacing w:line="277" w:lineRule="exact"/>
        <w:rPr>
          <w:sz w:val="24"/>
        </w:rPr>
      </w:pPr>
      <w:r>
        <w:rPr>
          <w:sz w:val="24"/>
        </w:rPr>
        <w:t>government agencies.</w:t>
      </w:r>
    </w:p>
    <w:p w14:paraId="61120BC1" w14:textId="77777777" w:rsidR="000D106B" w:rsidRDefault="00EE56C6">
      <w:pPr>
        <w:pStyle w:val="ListParagraph"/>
        <w:numPr>
          <w:ilvl w:val="0"/>
          <w:numId w:val="3"/>
        </w:numPr>
        <w:tabs>
          <w:tab w:val="left" w:pos="821"/>
          <w:tab w:val="left" w:pos="822"/>
        </w:tabs>
        <w:ind w:right="108"/>
        <w:rPr>
          <w:sz w:val="24"/>
        </w:rPr>
      </w:pPr>
      <w:r>
        <w:rPr>
          <w:sz w:val="24"/>
        </w:rPr>
        <w:t>An investigation of the credit status should be undertaken if there is any doubt about a potential customer’s credit worthiness. Normally this includes obtaining two business references, assessing such factors as the current state of the economy and, perhaps, contacting the prospective customer’s</w:t>
      </w:r>
      <w:r>
        <w:rPr>
          <w:spacing w:val="-3"/>
          <w:sz w:val="24"/>
        </w:rPr>
        <w:t xml:space="preserve"> </w:t>
      </w:r>
      <w:r>
        <w:rPr>
          <w:sz w:val="24"/>
        </w:rPr>
        <w:t>bank.</w:t>
      </w:r>
    </w:p>
    <w:p w14:paraId="0C59D9A3" w14:textId="77777777" w:rsidR="000D106B" w:rsidRDefault="000D106B">
      <w:pPr>
        <w:pStyle w:val="BodyText"/>
        <w:spacing w:before="9"/>
        <w:rPr>
          <w:sz w:val="23"/>
        </w:rPr>
      </w:pPr>
    </w:p>
    <w:p w14:paraId="6DFEF29E" w14:textId="40B7B927" w:rsidR="000D106B" w:rsidRDefault="00EE56C6" w:rsidP="6C216D6B">
      <w:pPr>
        <w:ind w:left="100"/>
        <w:rPr>
          <w:sz w:val="24"/>
          <w:szCs w:val="24"/>
        </w:rPr>
      </w:pPr>
      <w:r w:rsidRPr="6C216D6B">
        <w:rPr>
          <w:sz w:val="24"/>
          <w:szCs w:val="24"/>
        </w:rPr>
        <w:t>The</w:t>
      </w:r>
      <w:r w:rsidR="00126625">
        <w:rPr>
          <w:sz w:val="24"/>
          <w:szCs w:val="24"/>
        </w:rPr>
        <w:t xml:space="preserve"> Senior</w:t>
      </w:r>
      <w:r w:rsidRPr="6C216D6B">
        <w:rPr>
          <w:sz w:val="24"/>
          <w:szCs w:val="24"/>
        </w:rPr>
        <w:t xml:space="preserve"> Manager, </w:t>
      </w:r>
      <w:r w:rsidR="26E73C97" w:rsidRPr="6C216D6B">
        <w:rPr>
          <w:sz w:val="24"/>
          <w:szCs w:val="24"/>
        </w:rPr>
        <w:t xml:space="preserve">Accounts Receivable </w:t>
      </w:r>
      <w:r w:rsidRPr="6C216D6B">
        <w:rPr>
          <w:sz w:val="24"/>
          <w:szCs w:val="24"/>
        </w:rPr>
        <w:t>is available to assist in this matter.</w:t>
      </w:r>
    </w:p>
    <w:p w14:paraId="68AE7E46" w14:textId="77777777" w:rsidR="000D106B" w:rsidRDefault="000D106B">
      <w:pPr>
        <w:pStyle w:val="BodyText"/>
        <w:spacing w:before="8"/>
        <w:rPr>
          <w:sz w:val="31"/>
        </w:rPr>
      </w:pPr>
    </w:p>
    <w:p w14:paraId="092F2C68" w14:textId="77777777" w:rsidR="000D106B" w:rsidRDefault="00EE56C6">
      <w:pPr>
        <w:ind w:left="100"/>
        <w:rPr>
          <w:b/>
        </w:rPr>
      </w:pPr>
      <w:r>
        <w:rPr>
          <w:b/>
        </w:rPr>
        <w:t>SETTING UP BILLING UNITS AND ISSUING INVOICES</w:t>
      </w:r>
    </w:p>
    <w:p w14:paraId="71C7579D" w14:textId="77777777" w:rsidR="000D106B" w:rsidRDefault="000D106B">
      <w:pPr>
        <w:pStyle w:val="BodyText"/>
        <w:spacing w:before="5"/>
        <w:rPr>
          <w:b/>
          <w:sz w:val="21"/>
        </w:rPr>
      </w:pPr>
    </w:p>
    <w:p w14:paraId="077906F8" w14:textId="4AC5896F" w:rsidR="000D106B" w:rsidRDefault="00EE56C6" w:rsidP="6C216D6B">
      <w:pPr>
        <w:spacing w:before="1" w:line="242" w:lineRule="auto"/>
        <w:ind w:left="100" w:right="388"/>
        <w:rPr>
          <w:sz w:val="24"/>
          <w:szCs w:val="24"/>
        </w:rPr>
      </w:pPr>
      <w:r w:rsidRPr="6C216D6B">
        <w:rPr>
          <w:sz w:val="24"/>
          <w:szCs w:val="24"/>
        </w:rPr>
        <w:t xml:space="preserve">Faculties and/or support units must use </w:t>
      </w:r>
      <w:proofErr w:type="spellStart"/>
      <w:r w:rsidRPr="6C216D6B">
        <w:rPr>
          <w:sz w:val="24"/>
          <w:szCs w:val="24"/>
        </w:rPr>
        <w:t>MacBill</w:t>
      </w:r>
      <w:proofErr w:type="spellEnd"/>
      <w:r w:rsidRPr="6C216D6B">
        <w:rPr>
          <w:sz w:val="24"/>
          <w:szCs w:val="24"/>
        </w:rPr>
        <w:t xml:space="preserve"> (the University’s Peoplesoft (Mosaic) billing and accounts receivable system</w:t>
      </w:r>
      <w:proofErr w:type="gramStart"/>
      <w:r w:rsidRPr="6C216D6B">
        <w:rPr>
          <w:sz w:val="24"/>
          <w:szCs w:val="24"/>
        </w:rPr>
        <w:t>).</w:t>
      </w:r>
      <w:proofErr w:type="spellStart"/>
      <w:r w:rsidRPr="6C216D6B">
        <w:rPr>
          <w:position w:val="9"/>
          <w:sz w:val="16"/>
          <w:szCs w:val="16"/>
        </w:rPr>
        <w:t>i</w:t>
      </w:r>
      <w:proofErr w:type="spellEnd"/>
      <w:proofErr w:type="gramEnd"/>
      <w:r w:rsidRPr="6C216D6B">
        <w:rPr>
          <w:position w:val="9"/>
          <w:sz w:val="16"/>
          <w:szCs w:val="16"/>
        </w:rPr>
        <w:t xml:space="preserve"> </w:t>
      </w:r>
      <w:r w:rsidRPr="6C216D6B">
        <w:rPr>
          <w:sz w:val="24"/>
          <w:szCs w:val="24"/>
        </w:rPr>
        <w:t xml:space="preserve">Each faculty and/or support unit will be assigned to an individual AR Business Unit in the Mosaic system . once the request has been approved </w:t>
      </w:r>
      <w:r w:rsidR="28A2BB3F" w:rsidRPr="6C216D6B">
        <w:rPr>
          <w:sz w:val="24"/>
          <w:szCs w:val="24"/>
        </w:rPr>
        <w:t>the Finance System Support team</w:t>
      </w:r>
      <w:r w:rsidRPr="6C216D6B">
        <w:rPr>
          <w:sz w:val="24"/>
          <w:szCs w:val="24"/>
        </w:rPr>
        <w:t xml:space="preserve"> will set up the new AR Billing Unit.</w:t>
      </w:r>
    </w:p>
    <w:p w14:paraId="490CFEFB" w14:textId="77777777" w:rsidR="000D106B" w:rsidRDefault="00EE56C6">
      <w:pPr>
        <w:ind w:left="100"/>
        <w:rPr>
          <w:sz w:val="24"/>
        </w:rPr>
      </w:pPr>
      <w:r>
        <w:rPr>
          <w:sz w:val="24"/>
        </w:rPr>
        <w:t>Each user in the Billing Unit must</w:t>
      </w:r>
    </w:p>
    <w:p w14:paraId="129EC771" w14:textId="77777777" w:rsidR="000D106B" w:rsidRDefault="00EE56C6">
      <w:pPr>
        <w:pStyle w:val="ListParagraph"/>
        <w:numPr>
          <w:ilvl w:val="0"/>
          <w:numId w:val="2"/>
        </w:numPr>
        <w:tabs>
          <w:tab w:val="left" w:pos="1901"/>
          <w:tab w:val="left" w:pos="1902"/>
        </w:tabs>
        <w:spacing w:before="2"/>
        <w:ind w:right="367"/>
      </w:pPr>
      <w:r>
        <w:t>Apply for access using the Peoplesoft Financial Access Request Form and receive</w:t>
      </w:r>
      <w:r>
        <w:rPr>
          <w:spacing w:val="-21"/>
        </w:rPr>
        <w:t xml:space="preserve"> </w:t>
      </w:r>
      <w:r>
        <w:t>approval from their</w:t>
      </w:r>
      <w:r>
        <w:rPr>
          <w:spacing w:val="-7"/>
        </w:rPr>
        <w:t xml:space="preserve"> </w:t>
      </w:r>
      <w:r>
        <w:t>supervisor,</w:t>
      </w:r>
    </w:p>
    <w:p w14:paraId="7055EEDF" w14:textId="77777777" w:rsidR="000D106B" w:rsidRDefault="00EE56C6">
      <w:pPr>
        <w:pStyle w:val="ListParagraph"/>
        <w:numPr>
          <w:ilvl w:val="0"/>
          <w:numId w:val="2"/>
        </w:numPr>
        <w:tabs>
          <w:tab w:val="left" w:pos="1901"/>
          <w:tab w:val="left" w:pos="1902"/>
        </w:tabs>
        <w:spacing w:line="251" w:lineRule="exact"/>
      </w:pPr>
      <w:r>
        <w:t>Complete training module(s</w:t>
      </w:r>
      <w:proofErr w:type="gramStart"/>
      <w:r>
        <w:t>)</w:t>
      </w:r>
      <w:r>
        <w:rPr>
          <w:spacing w:val="-3"/>
        </w:rPr>
        <w:t xml:space="preserve"> </w:t>
      </w:r>
      <w:r>
        <w:t>,and</w:t>
      </w:r>
      <w:proofErr w:type="gramEnd"/>
    </w:p>
    <w:p w14:paraId="2BB9E363" w14:textId="77777777" w:rsidR="000D106B" w:rsidRDefault="00EE56C6">
      <w:pPr>
        <w:pStyle w:val="ListParagraph"/>
        <w:numPr>
          <w:ilvl w:val="0"/>
          <w:numId w:val="2"/>
        </w:numPr>
        <w:tabs>
          <w:tab w:val="left" w:pos="1901"/>
          <w:tab w:val="left" w:pos="1902"/>
        </w:tabs>
        <w:spacing w:before="3"/>
        <w:ind w:right="548"/>
      </w:pPr>
      <w:r>
        <w:t>Follow the guidelines included in this policy and the directions for issuing invoices in</w:t>
      </w:r>
      <w:r>
        <w:rPr>
          <w:spacing w:val="-30"/>
        </w:rPr>
        <w:t xml:space="preserve"> </w:t>
      </w:r>
      <w:r>
        <w:t>the manuals and procedures in</w:t>
      </w:r>
      <w:r>
        <w:rPr>
          <w:spacing w:val="-11"/>
        </w:rPr>
        <w:t xml:space="preserve"> </w:t>
      </w:r>
      <w:proofErr w:type="gramStart"/>
      <w:r>
        <w:t>Mosaic</w:t>
      </w:r>
      <w:proofErr w:type="gramEnd"/>
    </w:p>
    <w:p w14:paraId="155528E8" w14:textId="40937738" w:rsidR="000D106B" w:rsidRDefault="00EE56C6">
      <w:pPr>
        <w:pStyle w:val="Heading1"/>
        <w:spacing w:before="119"/>
        <w:ind w:left="100" w:right="695" w:firstLine="0"/>
      </w:pPr>
      <w:r>
        <w:t xml:space="preserve">If faculties and/or support units issue less than 50 invoices per year, the unit will be referred to as a ‘Billing Affiliate’. Billing Affiliates will use the fillable invoice request forms on Mosaic and the </w:t>
      </w:r>
      <w:r w:rsidR="1DA48452">
        <w:t>AR</w:t>
      </w:r>
      <w:r>
        <w:t xml:space="preserve"> </w:t>
      </w:r>
      <w:proofErr w:type="gramStart"/>
      <w:r>
        <w:t>office</w:t>
      </w:r>
      <w:proofErr w:type="gramEnd"/>
      <w:r>
        <w:t xml:space="preserve"> or the Faculty of Health Sciences Finance Office will manage the billing and follow up on the unit’s behalf.</w:t>
      </w:r>
    </w:p>
    <w:p w14:paraId="7F0EFAE2" w14:textId="77777777" w:rsidR="000D106B" w:rsidRDefault="000D106B">
      <w:pPr>
        <w:pStyle w:val="BodyText"/>
        <w:spacing w:before="8"/>
        <w:rPr>
          <w:sz w:val="31"/>
        </w:rPr>
      </w:pPr>
    </w:p>
    <w:p w14:paraId="7CBBAF8D" w14:textId="77777777" w:rsidR="000D106B" w:rsidRDefault="00EE56C6">
      <w:pPr>
        <w:spacing w:before="1"/>
        <w:ind w:left="100"/>
        <w:rPr>
          <w:b/>
        </w:rPr>
      </w:pPr>
      <w:r>
        <w:rPr>
          <w:b/>
        </w:rPr>
        <w:t>REVENUE RECOGNITION, MONTHLY REPORTS AND BALANCING</w:t>
      </w:r>
    </w:p>
    <w:p w14:paraId="474AB360" w14:textId="77777777" w:rsidR="000D106B" w:rsidRDefault="000D106B">
      <w:pPr>
        <w:pStyle w:val="BodyText"/>
        <w:spacing w:before="4"/>
        <w:rPr>
          <w:b/>
          <w:sz w:val="20"/>
        </w:rPr>
      </w:pPr>
    </w:p>
    <w:p w14:paraId="17D04D28" w14:textId="77777777" w:rsidR="000D106B" w:rsidRDefault="00EE56C6">
      <w:pPr>
        <w:pStyle w:val="ListParagraph"/>
        <w:numPr>
          <w:ilvl w:val="0"/>
          <w:numId w:val="1"/>
        </w:numPr>
        <w:tabs>
          <w:tab w:val="left" w:pos="1404"/>
          <w:tab w:val="left" w:pos="1405"/>
        </w:tabs>
        <w:ind w:right="484" w:hanging="475"/>
        <w:jc w:val="left"/>
      </w:pPr>
      <w:r>
        <w:t xml:space="preserve">Faculties and /or support units’ </w:t>
      </w:r>
      <w:proofErr w:type="spellStart"/>
      <w:r>
        <w:t>chartfields</w:t>
      </w:r>
      <w:proofErr w:type="spellEnd"/>
      <w:r>
        <w:t xml:space="preserve"> will be credited with the revenue when the invoice is issued through the Billing and AR Mosaic</w:t>
      </w:r>
      <w:r>
        <w:rPr>
          <w:spacing w:val="-10"/>
        </w:rPr>
        <w:t xml:space="preserve"> </w:t>
      </w:r>
      <w:r>
        <w:t>system,</w:t>
      </w:r>
    </w:p>
    <w:p w14:paraId="2D2CC4DC" w14:textId="77777777" w:rsidR="000D106B" w:rsidRDefault="00EE56C6">
      <w:pPr>
        <w:pStyle w:val="ListParagraph"/>
        <w:numPr>
          <w:ilvl w:val="0"/>
          <w:numId w:val="1"/>
        </w:numPr>
        <w:tabs>
          <w:tab w:val="left" w:pos="1404"/>
          <w:tab w:val="left" w:pos="1405"/>
        </w:tabs>
        <w:spacing w:before="3"/>
        <w:ind w:hanging="538"/>
        <w:jc w:val="left"/>
      </w:pPr>
      <w:r>
        <w:t>Research projects will be credited with the revenue when the invoice is issued, and any year</w:t>
      </w:r>
      <w:r>
        <w:rPr>
          <w:spacing w:val="-30"/>
        </w:rPr>
        <w:t xml:space="preserve"> </w:t>
      </w:r>
      <w:proofErr w:type="gramStart"/>
      <w:r>
        <w:t>end</w:t>
      </w:r>
      <w:proofErr w:type="gramEnd"/>
    </w:p>
    <w:p w14:paraId="2988F0C8" w14:textId="77777777" w:rsidR="000D106B" w:rsidRDefault="000D106B">
      <w:pPr>
        <w:sectPr w:rsidR="000D106B">
          <w:headerReference w:type="default" r:id="rId9"/>
          <w:footerReference w:type="default" r:id="rId10"/>
          <w:pgSz w:w="12240" w:h="15840"/>
          <w:pgMar w:top="1340" w:right="960" w:bottom="1080" w:left="960" w:header="714" w:footer="882" w:gutter="0"/>
          <w:pgNumType w:start="2"/>
          <w:cols w:space="720"/>
        </w:sectPr>
      </w:pPr>
    </w:p>
    <w:p w14:paraId="0589FFBA" w14:textId="77777777" w:rsidR="000D106B" w:rsidRDefault="00EE56C6">
      <w:pPr>
        <w:pStyle w:val="BodyText"/>
        <w:spacing w:before="153"/>
        <w:ind w:left="1404" w:right="353"/>
      </w:pPr>
      <w:r>
        <w:lastRenderedPageBreak/>
        <w:t xml:space="preserve">deferrals of revenue (for GAAP purposes) will be made by Financial Services as part of the year end </w:t>
      </w:r>
      <w:proofErr w:type="gramStart"/>
      <w:r>
        <w:t>processes</w:t>
      </w:r>
      <w:proofErr w:type="gramEnd"/>
    </w:p>
    <w:p w14:paraId="1A243899" w14:textId="213AB855" w:rsidR="000D106B" w:rsidRDefault="00EE56C6">
      <w:pPr>
        <w:pStyle w:val="ListParagraph"/>
        <w:numPr>
          <w:ilvl w:val="0"/>
          <w:numId w:val="1"/>
        </w:numPr>
        <w:tabs>
          <w:tab w:val="left" w:pos="1404"/>
          <w:tab w:val="left" w:pos="1405"/>
        </w:tabs>
        <w:spacing w:before="1"/>
        <w:ind w:right="256" w:hanging="598"/>
        <w:jc w:val="left"/>
      </w:pPr>
      <w:r>
        <w:t xml:space="preserve">Each unit must run the AR Aging report for its AR Business Unit on a monthly basis, balance it to the associated General Ledger </w:t>
      </w:r>
      <w:proofErr w:type="spellStart"/>
      <w:r>
        <w:t>chartfields</w:t>
      </w:r>
      <w:proofErr w:type="spellEnd"/>
      <w:r>
        <w:t xml:space="preserve">, and review it for accuracy and follow up with </w:t>
      </w:r>
      <w:r w:rsidR="74CB1FDA">
        <w:t>Accounts Receivable department</w:t>
      </w:r>
      <w:r>
        <w:t xml:space="preserve"> if there are any errors or delinquent</w:t>
      </w:r>
      <w:r>
        <w:rPr>
          <w:spacing w:val="-8"/>
        </w:rPr>
        <w:t xml:space="preserve"> </w:t>
      </w:r>
      <w:proofErr w:type="gramStart"/>
      <w:r>
        <w:t>accounts</w:t>
      </w:r>
      <w:proofErr w:type="gramEnd"/>
    </w:p>
    <w:p w14:paraId="7A9BF7A2" w14:textId="79FEA507" w:rsidR="000D106B" w:rsidRDefault="00EE56C6">
      <w:pPr>
        <w:pStyle w:val="ListParagraph"/>
        <w:numPr>
          <w:ilvl w:val="0"/>
          <w:numId w:val="1"/>
        </w:numPr>
        <w:tabs>
          <w:tab w:val="left" w:pos="1404"/>
          <w:tab w:val="left" w:pos="1405"/>
        </w:tabs>
        <w:ind w:right="522" w:hanging="586"/>
        <w:jc w:val="left"/>
      </w:pPr>
      <w:r>
        <w:t xml:space="preserve">Monthly balancing of the total AR sub ledger for all Business Units to the General ledger is the responsibility of the </w:t>
      </w:r>
      <w:r w:rsidR="00126625">
        <w:t>AR</w:t>
      </w:r>
      <w:r>
        <w:rPr>
          <w:spacing w:val="-8"/>
        </w:rPr>
        <w:t xml:space="preserve"> </w:t>
      </w:r>
      <w:r>
        <w:t>department.</w:t>
      </w:r>
    </w:p>
    <w:p w14:paraId="4C77E894" w14:textId="77777777" w:rsidR="000D106B" w:rsidRDefault="000D106B">
      <w:pPr>
        <w:pStyle w:val="BodyText"/>
        <w:spacing w:before="5"/>
        <w:rPr>
          <w:sz w:val="31"/>
        </w:rPr>
      </w:pPr>
    </w:p>
    <w:p w14:paraId="2F2250CE" w14:textId="77777777" w:rsidR="000D106B" w:rsidRDefault="00EE56C6">
      <w:pPr>
        <w:spacing w:before="1"/>
        <w:ind w:left="100"/>
        <w:rPr>
          <w:b/>
        </w:rPr>
      </w:pPr>
      <w:r>
        <w:rPr>
          <w:b/>
        </w:rPr>
        <w:t>COLLECTION OF ACCOUNTS RECEIVABLE</w:t>
      </w:r>
    </w:p>
    <w:p w14:paraId="5282BCE9" w14:textId="77777777" w:rsidR="000D106B" w:rsidRDefault="000D106B">
      <w:pPr>
        <w:pStyle w:val="BodyText"/>
        <w:spacing w:before="6"/>
        <w:rPr>
          <w:b/>
          <w:sz w:val="20"/>
        </w:rPr>
      </w:pPr>
    </w:p>
    <w:p w14:paraId="2F53AA01" w14:textId="4B645031" w:rsidR="000D106B" w:rsidRDefault="00EE56C6" w:rsidP="00126625">
      <w:pPr>
        <w:pStyle w:val="BodyText"/>
        <w:ind w:left="100" w:right="163"/>
      </w:pPr>
      <w:r>
        <w:t xml:space="preserve">Payments can be made by EFT, </w:t>
      </w:r>
      <w:proofErr w:type="gramStart"/>
      <w:r>
        <w:t>on line</w:t>
      </w:r>
      <w:proofErr w:type="gramEnd"/>
      <w:r>
        <w:t xml:space="preserve"> banking, cheque, wire, or credit card. Credit cards are only accepted at the discretion of the billing unit through the </w:t>
      </w:r>
      <w:proofErr w:type="spellStart"/>
      <w:r>
        <w:t>MacBill</w:t>
      </w:r>
      <w:proofErr w:type="spellEnd"/>
      <w:r>
        <w:t xml:space="preserve"> payment processing webpage. Invoices will direct customers to forward cheques directly t</w:t>
      </w:r>
      <w:r w:rsidR="00126625">
        <w:t>o the Accounts Receivable Office.</w:t>
      </w:r>
    </w:p>
    <w:p w14:paraId="37ADC0DB" w14:textId="65EB9727" w:rsidR="000D106B" w:rsidRDefault="00EE56C6">
      <w:pPr>
        <w:pStyle w:val="BodyText"/>
        <w:spacing w:before="118"/>
        <w:ind w:left="100" w:right="116"/>
      </w:pPr>
      <w:r>
        <w:t>Collection</w:t>
      </w:r>
      <w:r>
        <w:rPr>
          <w:spacing w:val="-2"/>
        </w:rPr>
        <w:t xml:space="preserve"> </w:t>
      </w:r>
      <w:r>
        <w:t>of</w:t>
      </w:r>
      <w:r>
        <w:rPr>
          <w:spacing w:val="-1"/>
        </w:rPr>
        <w:t xml:space="preserve"> </w:t>
      </w:r>
      <w:r>
        <w:t>accounts</w:t>
      </w:r>
      <w:r>
        <w:rPr>
          <w:spacing w:val="-4"/>
        </w:rPr>
        <w:t xml:space="preserve"> </w:t>
      </w:r>
      <w:r>
        <w:t>receivable</w:t>
      </w:r>
      <w:r>
        <w:rPr>
          <w:spacing w:val="-3"/>
        </w:rPr>
        <w:t xml:space="preserve"> </w:t>
      </w:r>
      <w:r>
        <w:t>is</w:t>
      </w:r>
      <w:r>
        <w:rPr>
          <w:spacing w:val="-4"/>
        </w:rPr>
        <w:t xml:space="preserve"> </w:t>
      </w:r>
      <w:r>
        <w:t>the</w:t>
      </w:r>
      <w:r>
        <w:rPr>
          <w:spacing w:val="-1"/>
        </w:rPr>
        <w:t xml:space="preserve"> </w:t>
      </w:r>
      <w:r>
        <w:t>ultimate</w:t>
      </w:r>
      <w:r>
        <w:rPr>
          <w:spacing w:val="-2"/>
        </w:rPr>
        <w:t xml:space="preserve"> </w:t>
      </w:r>
      <w:r>
        <w:t>responsibility</w:t>
      </w:r>
      <w:r>
        <w:rPr>
          <w:spacing w:val="-4"/>
        </w:rPr>
        <w:t xml:space="preserve"> </w:t>
      </w:r>
      <w:r>
        <w:t>of</w:t>
      </w:r>
      <w:r>
        <w:rPr>
          <w:spacing w:val="-4"/>
        </w:rPr>
        <w:t xml:space="preserve"> </w:t>
      </w:r>
      <w:r>
        <w:t>the</w:t>
      </w:r>
      <w:r>
        <w:rPr>
          <w:spacing w:val="-3"/>
        </w:rPr>
        <w:t xml:space="preserve"> </w:t>
      </w:r>
      <w:r>
        <w:t>faculty</w:t>
      </w:r>
      <w:r>
        <w:rPr>
          <w:spacing w:val="-5"/>
        </w:rPr>
        <w:t xml:space="preserve"> </w:t>
      </w:r>
      <w:r>
        <w:t>and/or</w:t>
      </w:r>
      <w:r>
        <w:rPr>
          <w:spacing w:val="-1"/>
        </w:rPr>
        <w:t xml:space="preserve"> </w:t>
      </w:r>
      <w:r>
        <w:t>support</w:t>
      </w:r>
      <w:r>
        <w:rPr>
          <w:spacing w:val="-1"/>
        </w:rPr>
        <w:t xml:space="preserve"> </w:t>
      </w:r>
      <w:r>
        <w:t>billing</w:t>
      </w:r>
      <w:r>
        <w:rPr>
          <w:spacing w:val="-4"/>
        </w:rPr>
        <w:t xml:space="preserve"> </w:t>
      </w:r>
      <w:r>
        <w:t>unit</w:t>
      </w:r>
      <w:r>
        <w:rPr>
          <w:spacing w:val="-1"/>
        </w:rPr>
        <w:t xml:space="preserve"> </w:t>
      </w:r>
      <w:r>
        <w:t>or</w:t>
      </w:r>
      <w:r>
        <w:rPr>
          <w:spacing w:val="-1"/>
        </w:rPr>
        <w:t xml:space="preserve"> </w:t>
      </w:r>
      <w:r>
        <w:t xml:space="preserve">research project providing the goods or services, with support from the </w:t>
      </w:r>
      <w:r w:rsidR="00126625">
        <w:t>Accounts Receivable</w:t>
      </w:r>
      <w:r>
        <w:t xml:space="preserve"> Office. Each Billing Unit will be responsible for issuing Late Notices when the account becomes overdue. Interest will</w:t>
      </w:r>
      <w:r>
        <w:rPr>
          <w:spacing w:val="-23"/>
        </w:rPr>
        <w:t xml:space="preserve"> </w:t>
      </w:r>
      <w:proofErr w:type="gramStart"/>
      <w:r>
        <w:t>be</w:t>
      </w:r>
      <w:proofErr w:type="gramEnd"/>
    </w:p>
    <w:p w14:paraId="1FCC58E5" w14:textId="75BC4F4C" w:rsidR="000D106B" w:rsidRDefault="00EE56C6" w:rsidP="00CC51DE">
      <w:pPr>
        <w:pStyle w:val="BodyText"/>
        <w:ind w:left="100" w:right="125"/>
      </w:pPr>
      <w:r>
        <w:t xml:space="preserve">charged at 1.5% per month in accordance with the university’s </w:t>
      </w:r>
      <w:r w:rsidR="00CC51DE">
        <w:t>Guidelines for Charging Interest &amp; Fees on Non Student Accounts Receivable (</w:t>
      </w:r>
      <w:proofErr w:type="spellStart"/>
      <w:r w:rsidR="00CC51DE">
        <w:t>MacBill</w:t>
      </w:r>
      <w:proofErr w:type="spellEnd"/>
      <w:r w:rsidR="00CC51DE">
        <w:t>)</w:t>
      </w:r>
      <w:r>
        <w:t xml:space="preserve"> </w:t>
      </w:r>
      <w:hyperlink r:id="rId11" w:history="1">
        <w:r w:rsidR="00CC51DE" w:rsidRPr="00B63D08">
          <w:rPr>
            <w:rStyle w:val="Hyperlink"/>
          </w:rPr>
          <w:t>https://financial-affairs.mcmaster.ca/app/uploads/2018/11/Guideline-for-charging-interest-on-non-student-Accounts-Receivable.pdf</w:t>
        </w:r>
      </w:hyperlink>
      <w:r w:rsidR="00CC51DE">
        <w:t xml:space="preserve"> </w:t>
      </w:r>
      <w:r>
        <w:t xml:space="preserve"> .If a customer contests a charge, the appropriate Director. PI or Chair will be responsible for resolving the contested item.</w:t>
      </w:r>
    </w:p>
    <w:p w14:paraId="7D7AF9AB" w14:textId="77777777" w:rsidR="000D106B" w:rsidRDefault="000D106B">
      <w:pPr>
        <w:pStyle w:val="BodyText"/>
        <w:spacing w:before="8"/>
        <w:rPr>
          <w:sz w:val="31"/>
        </w:rPr>
      </w:pPr>
    </w:p>
    <w:p w14:paraId="71C902F7" w14:textId="77777777" w:rsidR="000D106B" w:rsidRDefault="00EE56C6">
      <w:pPr>
        <w:ind w:left="100"/>
        <w:rPr>
          <w:b/>
        </w:rPr>
      </w:pPr>
      <w:r>
        <w:rPr>
          <w:b/>
        </w:rPr>
        <w:t>UNCOLLECTABLE ACCOUNTS</w:t>
      </w:r>
    </w:p>
    <w:p w14:paraId="4783A2A9" w14:textId="77777777" w:rsidR="000D106B" w:rsidRDefault="000D106B">
      <w:pPr>
        <w:pStyle w:val="BodyText"/>
        <w:spacing w:before="6"/>
        <w:rPr>
          <w:b/>
          <w:sz w:val="20"/>
        </w:rPr>
      </w:pPr>
    </w:p>
    <w:p w14:paraId="2003FAA6" w14:textId="77777777" w:rsidR="000D106B" w:rsidRDefault="00EE56C6">
      <w:pPr>
        <w:pStyle w:val="BodyText"/>
        <w:ind w:left="100" w:right="272"/>
      </w:pPr>
      <w:r>
        <w:t>In the absence of legitimate disputes, credit privileges will be withdrawn where customers have not responded to the collection notices to discharge outstanding debts.</w:t>
      </w:r>
    </w:p>
    <w:p w14:paraId="53B37032" w14:textId="77777777" w:rsidR="000D106B" w:rsidRDefault="000D106B">
      <w:pPr>
        <w:pStyle w:val="BodyText"/>
        <w:spacing w:before="9"/>
        <w:rPr>
          <w:sz w:val="21"/>
        </w:rPr>
      </w:pPr>
    </w:p>
    <w:p w14:paraId="25E4095B" w14:textId="0F80D607" w:rsidR="000D106B" w:rsidRPr="00EC2383" w:rsidRDefault="00EE56C6" w:rsidP="6C216D6B">
      <w:pPr>
        <w:pStyle w:val="BodyText"/>
        <w:ind w:left="100" w:right="132"/>
      </w:pPr>
      <w:r>
        <w:t xml:space="preserve">Uncollected accounts receivable balances will be charged back to the initiating faculty and/or support unit after all internal means of collection have been exhausted. This action will be initiated by the Manager, </w:t>
      </w:r>
      <w:r w:rsidR="2021E982">
        <w:t>Accounts Receivable</w:t>
      </w:r>
      <w:r>
        <w:t>, after consultation with the department involved. Chargebacks will occur annually typically in March.</w:t>
      </w:r>
      <w:r w:rsidR="2782E981">
        <w:t xml:space="preserve">  </w:t>
      </w:r>
      <w:r w:rsidR="2E513FD3" w:rsidRPr="00EC2383">
        <w:t xml:space="preserve">At year end an entry for provision for bad debt will be created for </w:t>
      </w:r>
      <w:r w:rsidR="489314D7" w:rsidRPr="00EC2383">
        <w:t xml:space="preserve">accounts receivable invoices which appear to be uncollectable.  </w:t>
      </w:r>
      <w:r w:rsidR="489314D7" w:rsidRPr="00EC2383">
        <w:rPr>
          <w:rFonts w:asciiTheme="minorHAnsi" w:eastAsiaTheme="minorEastAsia" w:hAnsiTheme="minorHAnsi" w:cstheme="minorBidi"/>
        </w:rPr>
        <w:t>T</w:t>
      </w:r>
      <w:r w:rsidR="489314D7" w:rsidRPr="00EC2383">
        <w:t xml:space="preserve">he entry is </w:t>
      </w:r>
      <w:r w:rsidR="2E513FD3" w:rsidRPr="00EC2383">
        <w:t>Debit Bad Debt Expense and Credit Allowance for Doubtful Accounts reduc</w:t>
      </w:r>
      <w:r w:rsidR="04CEB6EC" w:rsidRPr="00EC2383">
        <w:t>ing</w:t>
      </w:r>
      <w:r w:rsidR="2E513FD3" w:rsidRPr="00EC2383">
        <w:t xml:space="preserve"> the balance on the Financial Statements.</w:t>
      </w:r>
      <w:r w:rsidR="1794697D" w:rsidRPr="00EC2383">
        <w:t xml:space="preserve">  The entry is reversed in the next fiscal period</w:t>
      </w:r>
      <w:r w:rsidR="2A3288A6" w:rsidRPr="00EC2383">
        <w:t xml:space="preserve">.  The </w:t>
      </w:r>
      <w:proofErr w:type="spellStart"/>
      <w:r w:rsidR="1794697D" w:rsidRPr="00EC2383">
        <w:t>MacBill</w:t>
      </w:r>
      <w:proofErr w:type="spellEnd"/>
      <w:r w:rsidR="1794697D" w:rsidRPr="00EC2383">
        <w:t xml:space="preserve"> module has a function to write off Bad Debt.</w:t>
      </w:r>
      <w:r w:rsidR="05AA90C8" w:rsidRPr="00EC2383">
        <w:t xml:space="preserve">  The </w:t>
      </w:r>
      <w:proofErr w:type="spellStart"/>
      <w:r w:rsidR="05AA90C8" w:rsidRPr="00EC2383">
        <w:t>MacBill</w:t>
      </w:r>
      <w:proofErr w:type="spellEnd"/>
      <w:r w:rsidR="05AA90C8" w:rsidRPr="00EC2383">
        <w:t xml:space="preserve"> automatic entry is Debit Bad Debt Expense and Credit Accounts Receivable.</w:t>
      </w:r>
    </w:p>
    <w:p w14:paraId="38479DB5" w14:textId="77777777" w:rsidR="000D106B" w:rsidRDefault="000D106B">
      <w:pPr>
        <w:pStyle w:val="BodyText"/>
      </w:pPr>
    </w:p>
    <w:p w14:paraId="2E7A04B1" w14:textId="2ADB753C" w:rsidR="000D106B" w:rsidRDefault="00EE56C6">
      <w:pPr>
        <w:pStyle w:val="BodyText"/>
        <w:ind w:left="100" w:right="90"/>
      </w:pPr>
      <w:r>
        <w:t>Generally, uncollectible accounts will be forwarded through the</w:t>
      </w:r>
      <w:r w:rsidR="002168D1">
        <w:t xml:space="preserve"> Senior</w:t>
      </w:r>
      <w:r>
        <w:t xml:space="preserve"> Manager, </w:t>
      </w:r>
      <w:r w:rsidR="67883B34">
        <w:t>Accounts Receivable</w:t>
      </w:r>
      <w:r>
        <w:t>, to the university’s external collection agency for further collection, including legal action, if necessary. Consultation with the Office of Legal Services may be undertaken. Any amounts collected will be returned to the department, net of service fees charged by the collection agency.</w:t>
      </w:r>
    </w:p>
    <w:p w14:paraId="1A12CF46" w14:textId="6598EAB6" w:rsidR="000D106B" w:rsidRDefault="006D10BF">
      <w:pPr>
        <w:pStyle w:val="BodyText"/>
        <w:spacing w:before="7"/>
        <w:rPr>
          <w:sz w:val="10"/>
        </w:rPr>
      </w:pPr>
      <w:r>
        <w:rPr>
          <w:noProof/>
          <w:lang w:bidi="ar-SA"/>
        </w:rPr>
        <mc:AlternateContent>
          <mc:Choice Requires="wps">
            <w:drawing>
              <wp:anchor distT="0" distB="0" distL="0" distR="0" simplePos="0" relativeHeight="251658752" behindDoc="1" locked="0" layoutInCell="1" allowOverlap="1" wp14:anchorId="4715CD6A" wp14:editId="7836B3B4">
                <wp:simplePos x="0" y="0"/>
                <wp:positionH relativeFrom="page">
                  <wp:posOffset>673735</wp:posOffset>
                </wp:positionH>
                <wp:positionV relativeFrom="paragraph">
                  <wp:posOffset>107950</wp:posOffset>
                </wp:positionV>
                <wp:extent cx="1828800" cy="0"/>
                <wp:effectExtent l="6985" t="10160" r="12065" b="889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53.05pt,8.5pt" to="197.05pt,8.5pt" w14:anchorId="280CC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ryQEAAIIDAAAOAAAAZHJzL2Uyb0RvYy54bWysU8Fu2zAMvQ/YPwi6L7aDosiMOD0k6y7Z&#10;FqDdBzCSbAuTRUFSYufvR8lJ1m23YT4IlEg+Pj7S66dpMOysfNBoG14tSs6UFSi17Rr+/fX5w4qz&#10;EMFKMGhVwy8q8KfN+3fr0dVqiT0aqTwjEBvq0TW8j9HVRRFErwYIC3TKkrNFP0Ckq+8K6WEk9MEU&#10;y7J8LEb00nkUKgR63c1Ovsn4batE/Na2QUVmGk7cYj59Po/pLDZrqDsPrtfiSgP+gcUA2lLRO9QO&#10;IrCT139BDVp4DNjGhcChwLbVQuUeqJuq/KOblx6cyr2QOMHdZQr/D1Z8PR8807Lhj5xZGGhEe20V&#10;WyZlRhdqCtjag0+9icm+uD2KH4FZ3PZgO5UZvl4cpVUpo/gtJV2CI/zj+AUlxcApYpZpav2QIEkA&#10;NuVpXO7TUFNkgh6r1XK1Kmlo4uYroL4lOh/iZ4UDS0bDDXHOwHDeh5iIQH0LSXUsPmtj8rCNZWPD&#10;P1YPDzkhoNEyOVNY8N1xazw7Q1qX/OWuyPM2LCHvIPRzXHbNi+TxZGWu0iuQn652BG1mm1gZe1Up&#10;CTNLfER5OfibejToTP+6lGmT3t5z9q9fZ/MTAAD//wMAUEsDBBQABgAIAAAAIQALCpl62gAAAAkB&#10;AAAPAAAAZHJzL2Rvd25yZXYueG1sTE/LTsMwELwj8Q/WInGjTgGlNMSpUBUuiAMEPmAbu7FFvI5i&#10;twn9ehZxoLedh2Znys3se3E0Y3SBFCwXGQhDbdCOOgWfH883DyBiQtLYBzIKvk2ETXV5UWKhw0Tv&#10;5tikTnAIxQIV2JSGQsrYWuMxLsJgiLV9GD0mhmMn9YgTh/te3mZZLj064g8WB7O1pv1qDl5B8/Y6&#10;5S+n01SvGocxJWfreqvU9dX89AgimTn9m+G3PleHijvtwoF0FD3jLF+ylY8Vb2LD3fqeid0fIatS&#10;ni+ofgAAAP//AwBQSwECLQAUAAYACAAAACEAtoM4kv4AAADhAQAAEwAAAAAAAAAAAAAAAAAAAAAA&#10;W0NvbnRlbnRfVHlwZXNdLnhtbFBLAQItABQABgAIAAAAIQA4/SH/1gAAAJQBAAALAAAAAAAAAAAA&#10;AAAAAC8BAABfcmVscy8ucmVsc1BLAQItABQABgAIAAAAIQB+rHbryQEAAIIDAAAOAAAAAAAAAAAA&#10;AAAAAC4CAABkcnMvZTJvRG9jLnhtbFBLAQItABQABgAIAAAAIQALCpl62gAAAAkBAAAPAAAAAAAA&#10;AAAAAAAAACMEAABkcnMvZG93bnJldi54bWxQSwUGAAAAAAQABADzAAAAKgUAAAAA&#10;">
                <w10:wrap type="topAndBottom" anchorx="page"/>
              </v:line>
            </w:pict>
          </mc:Fallback>
        </mc:AlternateContent>
      </w:r>
    </w:p>
    <w:p w14:paraId="5EA66328" w14:textId="77777777" w:rsidR="000D106B" w:rsidRDefault="00EE56C6">
      <w:pPr>
        <w:spacing w:before="49"/>
        <w:ind w:left="100" w:right="165"/>
        <w:rPr>
          <w:rFonts w:ascii="Calibri" w:hAnsi="Calibri"/>
          <w:sz w:val="20"/>
        </w:rPr>
      </w:pPr>
      <w:proofErr w:type="spellStart"/>
      <w:r>
        <w:rPr>
          <w:rFonts w:ascii="Calibri" w:hAnsi="Calibri"/>
          <w:position w:val="7"/>
          <w:sz w:val="13"/>
        </w:rPr>
        <w:t>i</w:t>
      </w:r>
      <w:proofErr w:type="spellEnd"/>
      <w:r>
        <w:rPr>
          <w:rFonts w:ascii="Calibri" w:hAnsi="Calibri"/>
          <w:position w:val="7"/>
          <w:sz w:val="13"/>
        </w:rPr>
        <w:t xml:space="preserve"> </w:t>
      </w:r>
      <w:proofErr w:type="gramStart"/>
      <w:r>
        <w:rPr>
          <w:rFonts w:ascii="Calibri" w:hAnsi="Calibri"/>
          <w:sz w:val="20"/>
        </w:rPr>
        <w:t>In</w:t>
      </w:r>
      <w:proofErr w:type="gramEnd"/>
      <w:r>
        <w:rPr>
          <w:rFonts w:ascii="Calibri" w:hAnsi="Calibri"/>
          <w:sz w:val="20"/>
        </w:rPr>
        <w:t xml:space="preserve"> certain situations, where the university’s billing and accounts receivable system is not suited to the nature of the Faculty or support units’ business, a request for an exception can be made to the university’s Enterprise Administrative Technology Committee. Request for exceptions must include documentation that explains how the alternative system/process will ensure consistency with the objectives outlined at the top of this policy, and why the university’s </w:t>
      </w:r>
      <w:proofErr w:type="spellStart"/>
      <w:r>
        <w:rPr>
          <w:rFonts w:ascii="Calibri" w:hAnsi="Calibri"/>
          <w:sz w:val="20"/>
        </w:rPr>
        <w:t>MacBill</w:t>
      </w:r>
      <w:proofErr w:type="spellEnd"/>
      <w:r>
        <w:rPr>
          <w:rFonts w:ascii="Calibri" w:hAnsi="Calibri"/>
          <w:sz w:val="20"/>
        </w:rPr>
        <w:t xml:space="preserve"> system is not suitable. (</w:t>
      </w:r>
      <w:proofErr w:type="spellStart"/>
      <w:proofErr w:type="gramStart"/>
      <w:r>
        <w:rPr>
          <w:rFonts w:ascii="Calibri" w:hAnsi="Calibri"/>
          <w:sz w:val="20"/>
        </w:rPr>
        <w:t>eg</w:t>
      </w:r>
      <w:proofErr w:type="gramEnd"/>
      <w:r>
        <w:rPr>
          <w:rFonts w:ascii="Calibri" w:hAnsi="Calibri"/>
          <w:sz w:val="20"/>
        </w:rPr>
        <w:t>.</w:t>
      </w:r>
      <w:proofErr w:type="spellEnd"/>
      <w:r>
        <w:rPr>
          <w:rFonts w:ascii="Calibri" w:hAnsi="Calibri"/>
          <w:sz w:val="20"/>
        </w:rPr>
        <w:t xml:space="preserve"> Billing function is integrated with building rental system or nuclear reactor sales system.) Chair of Committee will provide written rationale for committee’s decision if requested.</w:t>
      </w:r>
    </w:p>
    <w:sectPr w:rsidR="000D106B">
      <w:pgSz w:w="12240" w:h="15840"/>
      <w:pgMar w:top="1340" w:right="960" w:bottom="1080" w:left="960" w:header="714"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5C2B9" w14:textId="77777777" w:rsidR="00EE56C6" w:rsidRDefault="00EE56C6">
      <w:r>
        <w:separator/>
      </w:r>
    </w:p>
  </w:endnote>
  <w:endnote w:type="continuationSeparator" w:id="0">
    <w:p w14:paraId="64100723" w14:textId="77777777" w:rsidR="00EE56C6" w:rsidRDefault="00EE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6460" w14:textId="77777777" w:rsidR="000D106B" w:rsidRDefault="00EE56C6">
    <w:pPr>
      <w:pStyle w:val="BodyText"/>
      <w:spacing w:line="14" w:lineRule="auto"/>
      <w:rPr>
        <w:sz w:val="20"/>
      </w:rPr>
    </w:pPr>
    <w:r>
      <w:rPr>
        <w:noProof/>
        <w:lang w:bidi="ar-SA"/>
      </w:rPr>
      <w:drawing>
        <wp:anchor distT="0" distB="0" distL="0" distR="0" simplePos="0" relativeHeight="268430279" behindDoc="1" locked="0" layoutInCell="1" allowOverlap="1" wp14:anchorId="6DEB0377" wp14:editId="6BF0DC79">
          <wp:simplePos x="0" y="0"/>
          <wp:positionH relativeFrom="page">
            <wp:posOffset>3336925</wp:posOffset>
          </wp:positionH>
          <wp:positionV relativeFrom="page">
            <wp:posOffset>9371330</wp:posOffset>
          </wp:positionV>
          <wp:extent cx="828675" cy="4603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28675"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61AD" w14:textId="77777777" w:rsidR="00EE56C6" w:rsidRDefault="00EE56C6">
      <w:r>
        <w:separator/>
      </w:r>
    </w:p>
  </w:footnote>
  <w:footnote w:type="continuationSeparator" w:id="0">
    <w:p w14:paraId="29A67B6B" w14:textId="77777777" w:rsidR="00EE56C6" w:rsidRDefault="00EE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E663" w14:textId="612C235F" w:rsidR="000D106B" w:rsidRDefault="006D10BF">
    <w:pPr>
      <w:pStyle w:val="BodyText"/>
      <w:spacing w:line="14" w:lineRule="auto"/>
      <w:rPr>
        <w:sz w:val="20"/>
      </w:rPr>
    </w:pPr>
    <w:r>
      <w:rPr>
        <w:noProof/>
        <w:lang w:bidi="ar-SA"/>
      </w:rPr>
      <mc:AlternateContent>
        <mc:Choice Requires="wps">
          <w:drawing>
            <wp:anchor distT="0" distB="0" distL="114300" distR="114300" simplePos="0" relativeHeight="503311232" behindDoc="1" locked="0" layoutInCell="1" allowOverlap="1" wp14:anchorId="0B1BCEAB" wp14:editId="6211D52E">
              <wp:simplePos x="0" y="0"/>
              <wp:positionH relativeFrom="page">
                <wp:posOffset>765810</wp:posOffset>
              </wp:positionH>
              <wp:positionV relativeFrom="page">
                <wp:posOffset>850265</wp:posOffset>
              </wp:positionV>
              <wp:extent cx="6256020" cy="0"/>
              <wp:effectExtent l="13335" t="12065" r="17145" b="1651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0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1.6pt" from="60.3pt,66.95pt" to="552.9pt,66.95pt" w14:anchorId="47ECB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3IyAEAAIMDAAAOAAAAZHJzL2Uyb0RvYy54bWysU8Fu2zAMvQ/YPwi6L3ZcNBiMOD0k6y7Z&#10;FqDdBzCSbAuTRUFSYufvR8lJtnW3YT4Qokg+PT7S66dpMOysfNBoG75clJwpK1Bq2zX8++vzh4+c&#10;hQhWgkGrGn5RgT9t3r9bj65WFfZopPKMQGyoR9fwPkZXF0UQvRogLNApS8EW/QCRXN8V0sNI6IMp&#10;qrJcFSN66TwKFQLd7uYg32T8tlUifmvboCIzDSduMVuf7THZYrOGuvPgei2uNOAfWAygLT16h9pB&#10;BHby+i+oQQuPAdu4EDgU2LZaqNwDdbMs33Tz0oNTuRcSJ7i7TOH/wYqv54NnWjb8kTMLA41or61i&#10;D0mZ0YWaErb24FNvYrIvbo/iR2AWtz3YTmWGrxdHZctUUfxRkpzgCP84fkFJOXCKmGWaWj8kSBKA&#10;TXkal/s01BSZoMtV9bgqKxqauMUKqG+Fzof4WeHA0qHhhjhnYDjvQ0xEoL6lpHcsPmtj8rCNZWPD&#10;q/KBoFMooNEyRbPju+PWeHaGtC/5y229SUvQOwj9nJcR5k3yeLIyP9MrkJ+u5wjazGeiZexVpqTM&#10;rPER5eXgb/LRpDP/61amVfrdz9W//p3NTwAAAP//AwBQSwMEFAAGAAgAAAAhAEaZ4BHeAAAADAEA&#10;AA8AAABkcnMvZG93bnJldi54bWxMj0FrAjEQhe+F/ocwhd5qolKp62alFQShJ7UtHmc3093gJlk2&#10;Ubf/viMU6m3ezOPN9/Ll4Fpxpj7a4DWMRwoE+SoY62sNH/v10wuImNAbbIMnDT8UYVnc3+WYmXDx&#10;WzrvUi04xMcMNTQpdZmUsWrIYRyFjjzfvkPvMLHsa2l6vHC4a+VEqZl0aD1/aLCjVUPVcXdyGsrj&#10;YbvZv2Gg9er98NVWVn1urNaPD8PrAkSiIf2b4YrP6FAwUxlO3kTRsp6oGVt5mE7nIK6OsXrmNuXf&#10;Sha5vC1R/AIAAP//AwBQSwECLQAUAAYACAAAACEAtoM4kv4AAADhAQAAEwAAAAAAAAAAAAAAAAAA&#10;AAAAW0NvbnRlbnRfVHlwZXNdLnhtbFBLAQItABQABgAIAAAAIQA4/SH/1gAAAJQBAAALAAAAAAAA&#10;AAAAAAAAAC8BAABfcmVscy8ucmVsc1BLAQItABQABgAIAAAAIQBhlA3IyAEAAIMDAAAOAAAAAAAA&#10;AAAAAAAAAC4CAABkcnMvZTJvRG9jLnhtbFBLAQItABQABgAIAAAAIQBGmeAR3gAAAAwBAAAPAAAA&#10;AAAAAAAAAAAAACIEAABkcnMvZG93bnJldi54bWxQSwUGAAAAAAQABADzAAAALQUAAAAA&#10;">
              <w10:wrap anchorx="page" anchory="page"/>
            </v:line>
          </w:pict>
        </mc:Fallback>
      </mc:AlternateContent>
    </w:r>
    <w:r>
      <w:rPr>
        <w:noProof/>
        <w:lang w:bidi="ar-SA"/>
      </w:rPr>
      <mc:AlternateContent>
        <mc:Choice Requires="wps">
          <w:drawing>
            <wp:anchor distT="0" distB="0" distL="114300" distR="114300" simplePos="0" relativeHeight="503311256" behindDoc="1" locked="0" layoutInCell="1" allowOverlap="1" wp14:anchorId="44D4210E" wp14:editId="0A6D64AE">
              <wp:simplePos x="0" y="0"/>
              <wp:positionH relativeFrom="page">
                <wp:posOffset>762000</wp:posOffset>
              </wp:positionH>
              <wp:positionV relativeFrom="page">
                <wp:posOffset>440690</wp:posOffset>
              </wp:positionV>
              <wp:extent cx="1634490" cy="311785"/>
              <wp:effectExtent l="0" t="254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6EBB2" w14:textId="77777777" w:rsidR="000D106B" w:rsidRDefault="00EE56C6">
                          <w:pPr>
                            <w:spacing w:before="24" w:line="232" w:lineRule="auto"/>
                            <w:ind w:left="20"/>
                            <w:rPr>
                              <w:rFonts w:ascii="Arial Narrow"/>
                              <w:b/>
                              <w:sz w:val="20"/>
                            </w:rPr>
                          </w:pPr>
                          <w:r>
                            <w:rPr>
                              <w:rFonts w:ascii="Arial Narrow"/>
                              <w:b/>
                              <w:sz w:val="20"/>
                            </w:rPr>
                            <w:t>Billing and Accounts Receivable (</w:t>
                          </w:r>
                          <w:proofErr w:type="gramStart"/>
                          <w:r>
                            <w:rPr>
                              <w:rFonts w:ascii="Arial Narrow"/>
                              <w:b/>
                              <w:sz w:val="20"/>
                            </w:rPr>
                            <w:t>non student</w:t>
                          </w:r>
                          <w:proofErr w:type="gramEnd"/>
                          <w:r>
                            <w:rPr>
                              <w:rFonts w:ascii="Arial Narrow"/>
                              <w:b/>
                              <w:sz w:val="20"/>
                            </w:rPr>
                            <w:t xml:space="preserve">)- </w:t>
                          </w:r>
                          <w:proofErr w:type="spellStart"/>
                          <w:r>
                            <w:rPr>
                              <w:rFonts w:ascii="Arial Narrow"/>
                              <w:b/>
                              <w:sz w:val="20"/>
                            </w:rPr>
                            <w:t>MacBill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4210E" id="_x0000_t202" coordsize="21600,21600" o:spt="202" path="m,l,21600r21600,l21600,xe">
              <v:stroke joinstyle="miter"/>
              <v:path gradientshapeok="t" o:connecttype="rect"/>
            </v:shapetype>
            <v:shape id="Text Box 2" o:spid="_x0000_s1026" type="#_x0000_t202" style="position:absolute;margin-left:60pt;margin-top:34.7pt;width:128.7pt;height:24.5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aR1gEAAJEDAAAOAAAAZHJzL2Uyb0RvYy54bWysU9tu1DAQfUfiHyy/s9m0pZRos1VpVYRU&#10;ClLhAyaOnUQkHjP2brJ8PWNns+XyhnixJp7xmXPOTDbX09CLvSbfoS1lvlpLoa3CurNNKb9+uX91&#10;JYUPYGvo0epSHrSX19uXLzajK/QZttjXmgSDWF+MrpRtCK7IMq9aPYBfodOWkwZpgMCf1GQ1wcjo&#10;Q5+drdeX2YhUO0KlvefbuzkptwnfGK3CJ2O8DqIvJXML6aR0VvHMthsoGgLXdupIA/6BxQCd5aYn&#10;qDsIIHbU/QU1dIrQowkrhUOGxnRKJw2sJl//oeapBaeTFjbHu5NN/v/Bqsf9k/tMIkzvcOIBJhHe&#10;PaD65oXF2xZso2+IcGw11Nw4j5Zlo/PF8Wm02hc+glTjR6x5yLALmIAmQ0N0hXUKRucBHE6m6ykI&#10;FVtenl9cvOWU4tx5nr+5ep1aQLG8duTDe42DiEEpiYea0GH/4ENkA8VSEptZvO/6Pg22t79dcGG8&#10;Sewj4Zl6mKqJq6OKCusD6yCc94T3moMW6YcUI+9IKf33HZCWov9g2Yu4UEtAS1AtAVjFT0sZpJjD&#10;2zAv3s5R17SMPLtt8Yb9Ml2S8sziyJPnnhQedzQu1q/fqer5T9r+BAAA//8DAFBLAwQUAAYACAAA&#10;ACEA6Hh/J98AAAAKAQAADwAAAGRycy9kb3ducmV2LnhtbEyPzU7DMBCE70i8g7VI3KhTftI2jVNV&#10;CE5IiDQcenTibWI1XofYbcPbs5zgtqP5NDuTbybXizOOwXpSMJ8lIJAabyy1Cj6r17sliBA1Gd17&#10;QgXfGGBTXF/lOjP+QiWed7EVHEIh0wq6GIdMytB06HSY+QGJvYMfnY4sx1aaUV843PXyPklS6bQl&#10;/tDpAZ87bI67k1Ow3VP5Yr/e64/yUNqqWiX0lh6Vur2ZtmsQEaf4B8Nvfa4OBXeq/YlMED1rjmdU&#10;Qbp6BMHAw2LBR83OfPkEssjl/wnFDwAAAP//AwBQSwECLQAUAAYACAAAACEAtoM4kv4AAADhAQAA&#10;EwAAAAAAAAAAAAAAAAAAAAAAW0NvbnRlbnRfVHlwZXNdLnhtbFBLAQItABQABgAIAAAAIQA4/SH/&#10;1gAAAJQBAAALAAAAAAAAAAAAAAAAAC8BAABfcmVscy8ucmVsc1BLAQItABQABgAIAAAAIQBHAqaR&#10;1gEAAJEDAAAOAAAAAAAAAAAAAAAAAC4CAABkcnMvZTJvRG9jLnhtbFBLAQItABQABgAIAAAAIQDo&#10;eH8n3wAAAAoBAAAPAAAAAAAAAAAAAAAAADAEAABkcnMvZG93bnJldi54bWxQSwUGAAAAAAQABADz&#10;AAAAPAUAAAAA&#10;" filled="f" stroked="f">
              <v:textbox inset="0,0,0,0">
                <w:txbxContent>
                  <w:p w14:paraId="1246EBB2" w14:textId="77777777" w:rsidR="000D106B" w:rsidRDefault="00EE56C6">
                    <w:pPr>
                      <w:spacing w:before="24" w:line="232" w:lineRule="auto"/>
                      <w:ind w:left="20"/>
                      <w:rPr>
                        <w:rFonts w:ascii="Arial Narrow"/>
                        <w:b/>
                        <w:sz w:val="20"/>
                      </w:rPr>
                    </w:pPr>
                    <w:r>
                      <w:rPr>
                        <w:rFonts w:ascii="Arial Narrow"/>
                        <w:b/>
                        <w:sz w:val="20"/>
                      </w:rPr>
                      <w:t>Billing and Accounts Receivable (</w:t>
                    </w:r>
                    <w:proofErr w:type="gramStart"/>
                    <w:r>
                      <w:rPr>
                        <w:rFonts w:ascii="Arial Narrow"/>
                        <w:b/>
                        <w:sz w:val="20"/>
                      </w:rPr>
                      <w:t>non student</w:t>
                    </w:r>
                    <w:proofErr w:type="gramEnd"/>
                    <w:r>
                      <w:rPr>
                        <w:rFonts w:ascii="Arial Narrow"/>
                        <w:b/>
                        <w:sz w:val="20"/>
                      </w:rPr>
                      <w:t xml:space="preserve">)- </w:t>
                    </w:r>
                    <w:proofErr w:type="spellStart"/>
                    <w:r>
                      <w:rPr>
                        <w:rFonts w:ascii="Arial Narrow"/>
                        <w:b/>
                        <w:sz w:val="20"/>
                      </w:rPr>
                      <w:t>MacBill</w:t>
                    </w:r>
                    <w:proofErr w:type="spellEnd"/>
                  </w:p>
                </w:txbxContent>
              </v:textbox>
              <w10:wrap anchorx="page" anchory="page"/>
            </v:shape>
          </w:pict>
        </mc:Fallback>
      </mc:AlternateContent>
    </w:r>
    <w:r>
      <w:rPr>
        <w:noProof/>
        <w:lang w:bidi="ar-SA"/>
      </w:rPr>
      <mc:AlternateContent>
        <mc:Choice Requires="wps">
          <w:drawing>
            <wp:anchor distT="0" distB="0" distL="114300" distR="114300" simplePos="0" relativeHeight="503311280" behindDoc="1" locked="0" layoutInCell="1" allowOverlap="1" wp14:anchorId="1904F300" wp14:editId="06AF00B1">
              <wp:simplePos x="0" y="0"/>
              <wp:positionH relativeFrom="page">
                <wp:posOffset>6409690</wp:posOffset>
              </wp:positionH>
              <wp:positionV relativeFrom="page">
                <wp:posOffset>445135</wp:posOffset>
              </wp:positionV>
              <wp:extent cx="367665" cy="16891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68A3B" w14:textId="197E07C9" w:rsidR="000D106B" w:rsidRDefault="00EE56C6">
                          <w:pPr>
                            <w:spacing w:before="16"/>
                            <w:ind w:left="20"/>
                            <w:rPr>
                              <w:rFonts w:ascii="Arial Narrow"/>
                              <w:sz w:val="20"/>
                            </w:rPr>
                          </w:pPr>
                          <w:r>
                            <w:rPr>
                              <w:rFonts w:ascii="Arial Narrow"/>
                              <w:sz w:val="20"/>
                            </w:rPr>
                            <w:t xml:space="preserve">Page </w:t>
                          </w:r>
                          <w:r>
                            <w:fldChar w:fldCharType="begin"/>
                          </w:r>
                          <w:r>
                            <w:rPr>
                              <w:rFonts w:ascii="Arial Narrow"/>
                              <w:sz w:val="20"/>
                            </w:rPr>
                            <w:instrText xml:space="preserve"> PAGE </w:instrText>
                          </w:r>
                          <w:r>
                            <w:fldChar w:fldCharType="separate"/>
                          </w:r>
                          <w:r w:rsidR="00EC2383">
                            <w:rPr>
                              <w:rFonts w:ascii="Arial Narrow"/>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F300" id="Text Box 1" o:spid="_x0000_s1027" type="#_x0000_t202" style="position:absolute;margin-left:504.7pt;margin-top:35.05pt;width:28.95pt;height:13.3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8ES1wEAAJcDAAAOAAAAZHJzL2Uyb0RvYy54bWysU9tu1DAQfUfiHyy/s9kUEUq02aq0KkIq&#10;F6nwAY5jJxaJx4y9myxfz9hJtkDfKl6sydg+PpfJ7moaenZU6A3YiuebLWfKSmiMbSv+/dvdq0vO&#10;fBC2ET1YVfGT8vxq//LFbnSluoAO+kYhIxDry9FVvAvBlVnmZacG4TfglKVNDTiIQJ/YZg2KkdCH&#10;PrvYbotsBGwcglTeU/d23uT7hK+1kuGL1l4F1lecuIW0YlrruGb7nShbFK4zcqEhnsFiEMbSo2eo&#10;WxEEO6B5AjUYieBBh42EIQOtjVRJA6nJt/+oeeiEU0kLmePd2Sb//2Dl5+OD+4osTO9hogCTCO/u&#10;Qf7wzMJNJ2yrrhFh7JRo6OE8WpaNzpfL1Wi1L30EqcdP0FDI4hAgAU0ah+gK6WSETgGczqarKTBJ&#10;zdfF26J4w5mkrby4fJenUDJRrpcd+vBBwcBiUXGkTBO4ON77EMmIcj0S37JwZ/o+5drbvxp0MHYS&#10;+ch3Zh6memKmWZRFLTU0J1KDME8LTTcVHeAvzkaalIr7nweBirP+oyVH4litBa5FvRbCSrpa8cDZ&#10;XN6EefwODk3bEfLsuYVrck2bpOiRxUKX0k9Cl0mN4/Xndzr1+D/tfwMAAP//AwBQSwMEFAAGAAgA&#10;AAAhAEH0NtPfAAAACwEAAA8AAABkcnMvZG93bnJldi54bWxMj8FOwzAQRO9I/IO1lbhRu4ASksap&#10;KgQnJEQaDhydeJtYjdchdtvw97inchzt08zbYjPbgZ1w8saRhNVSAENqnTbUSfiq3+6fgfmgSKvB&#10;EUr4RQ+b8vamULl2Z6rwtAsdiyXkcyWhD2HMOfdtj1b5pRuR4m3vJqtCjFPH9aTOsdwO/EGIhFtl&#10;KC70asSXHtvD7mglbL+pejU/H81nta9MXWeC3pODlHeLebsGFnAOVxgu+lEdyujUuCNpz4aYhcie&#10;IishFStgF0Ik6SOwRkKWpMDLgv//ofwDAAD//wMAUEsBAi0AFAAGAAgAAAAhALaDOJL+AAAA4QEA&#10;ABMAAAAAAAAAAAAAAAAAAAAAAFtDb250ZW50X1R5cGVzXS54bWxQSwECLQAUAAYACAAAACEAOP0h&#10;/9YAAACUAQAACwAAAAAAAAAAAAAAAAAvAQAAX3JlbHMvLnJlbHNQSwECLQAUAAYACAAAACEAet/B&#10;EtcBAACXAwAADgAAAAAAAAAAAAAAAAAuAgAAZHJzL2Uyb0RvYy54bWxQSwECLQAUAAYACAAAACEA&#10;QfQ2098AAAALAQAADwAAAAAAAAAAAAAAAAAxBAAAZHJzL2Rvd25yZXYueG1sUEsFBgAAAAAEAAQA&#10;8wAAAD0FAAAAAA==&#10;" filled="f" stroked="f">
              <v:textbox inset="0,0,0,0">
                <w:txbxContent>
                  <w:p w14:paraId="5C268A3B" w14:textId="197E07C9" w:rsidR="000D106B" w:rsidRDefault="00EE56C6">
                    <w:pPr>
                      <w:spacing w:before="16"/>
                      <w:ind w:left="20"/>
                      <w:rPr>
                        <w:rFonts w:ascii="Arial Narrow"/>
                        <w:sz w:val="20"/>
                      </w:rPr>
                    </w:pPr>
                    <w:r>
                      <w:rPr>
                        <w:rFonts w:ascii="Arial Narrow"/>
                        <w:sz w:val="20"/>
                      </w:rPr>
                      <w:t xml:space="preserve">Page </w:t>
                    </w:r>
                    <w:r>
                      <w:fldChar w:fldCharType="begin"/>
                    </w:r>
                    <w:r>
                      <w:rPr>
                        <w:rFonts w:ascii="Arial Narrow"/>
                        <w:sz w:val="20"/>
                      </w:rPr>
                      <w:instrText xml:space="preserve"> PAGE </w:instrText>
                    </w:r>
                    <w:r>
                      <w:fldChar w:fldCharType="separate"/>
                    </w:r>
                    <w:r w:rsidR="00EC2383">
                      <w:rPr>
                        <w:rFonts w:ascii="Arial Narrow"/>
                        <w:noProof/>
                        <w:sz w:val="20"/>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76B32"/>
    <w:multiLevelType w:val="hybridMultilevel"/>
    <w:tmpl w:val="3DAA0C12"/>
    <w:lvl w:ilvl="0" w:tplc="76343344">
      <w:start w:val="1"/>
      <w:numFmt w:val="lowerRoman"/>
      <w:lvlText w:val="(%1)"/>
      <w:lvlJc w:val="left"/>
      <w:pPr>
        <w:ind w:left="1901" w:hanging="540"/>
        <w:jc w:val="left"/>
      </w:pPr>
      <w:rPr>
        <w:rFonts w:ascii="Times New Roman" w:eastAsia="Times New Roman" w:hAnsi="Times New Roman" w:cs="Times New Roman" w:hint="default"/>
        <w:w w:val="100"/>
        <w:sz w:val="22"/>
        <w:szCs w:val="22"/>
        <w:lang w:val="en-CA" w:eastAsia="en-CA" w:bidi="en-CA"/>
      </w:rPr>
    </w:lvl>
    <w:lvl w:ilvl="1" w:tplc="44526250">
      <w:numFmt w:val="bullet"/>
      <w:lvlText w:val="•"/>
      <w:lvlJc w:val="left"/>
      <w:pPr>
        <w:ind w:left="2742" w:hanging="540"/>
      </w:pPr>
      <w:rPr>
        <w:rFonts w:hint="default"/>
        <w:lang w:val="en-CA" w:eastAsia="en-CA" w:bidi="en-CA"/>
      </w:rPr>
    </w:lvl>
    <w:lvl w:ilvl="2" w:tplc="08586E16">
      <w:numFmt w:val="bullet"/>
      <w:lvlText w:val="•"/>
      <w:lvlJc w:val="left"/>
      <w:pPr>
        <w:ind w:left="3584" w:hanging="540"/>
      </w:pPr>
      <w:rPr>
        <w:rFonts w:hint="default"/>
        <w:lang w:val="en-CA" w:eastAsia="en-CA" w:bidi="en-CA"/>
      </w:rPr>
    </w:lvl>
    <w:lvl w:ilvl="3" w:tplc="CCB6FE48">
      <w:numFmt w:val="bullet"/>
      <w:lvlText w:val="•"/>
      <w:lvlJc w:val="left"/>
      <w:pPr>
        <w:ind w:left="4426" w:hanging="540"/>
      </w:pPr>
      <w:rPr>
        <w:rFonts w:hint="default"/>
        <w:lang w:val="en-CA" w:eastAsia="en-CA" w:bidi="en-CA"/>
      </w:rPr>
    </w:lvl>
    <w:lvl w:ilvl="4" w:tplc="B476A766">
      <w:numFmt w:val="bullet"/>
      <w:lvlText w:val="•"/>
      <w:lvlJc w:val="left"/>
      <w:pPr>
        <w:ind w:left="5268" w:hanging="540"/>
      </w:pPr>
      <w:rPr>
        <w:rFonts w:hint="default"/>
        <w:lang w:val="en-CA" w:eastAsia="en-CA" w:bidi="en-CA"/>
      </w:rPr>
    </w:lvl>
    <w:lvl w:ilvl="5" w:tplc="61B619B4">
      <w:numFmt w:val="bullet"/>
      <w:lvlText w:val="•"/>
      <w:lvlJc w:val="left"/>
      <w:pPr>
        <w:ind w:left="6110" w:hanging="540"/>
      </w:pPr>
      <w:rPr>
        <w:rFonts w:hint="default"/>
        <w:lang w:val="en-CA" w:eastAsia="en-CA" w:bidi="en-CA"/>
      </w:rPr>
    </w:lvl>
    <w:lvl w:ilvl="6" w:tplc="6BFAAD18">
      <w:numFmt w:val="bullet"/>
      <w:lvlText w:val="•"/>
      <w:lvlJc w:val="left"/>
      <w:pPr>
        <w:ind w:left="6952" w:hanging="540"/>
      </w:pPr>
      <w:rPr>
        <w:rFonts w:hint="default"/>
        <w:lang w:val="en-CA" w:eastAsia="en-CA" w:bidi="en-CA"/>
      </w:rPr>
    </w:lvl>
    <w:lvl w:ilvl="7" w:tplc="F93ADF00">
      <w:numFmt w:val="bullet"/>
      <w:lvlText w:val="•"/>
      <w:lvlJc w:val="left"/>
      <w:pPr>
        <w:ind w:left="7794" w:hanging="540"/>
      </w:pPr>
      <w:rPr>
        <w:rFonts w:hint="default"/>
        <w:lang w:val="en-CA" w:eastAsia="en-CA" w:bidi="en-CA"/>
      </w:rPr>
    </w:lvl>
    <w:lvl w:ilvl="8" w:tplc="7FF42368">
      <w:numFmt w:val="bullet"/>
      <w:lvlText w:val="•"/>
      <w:lvlJc w:val="left"/>
      <w:pPr>
        <w:ind w:left="8636" w:hanging="540"/>
      </w:pPr>
      <w:rPr>
        <w:rFonts w:hint="default"/>
        <w:lang w:val="en-CA" w:eastAsia="en-CA" w:bidi="en-CA"/>
      </w:rPr>
    </w:lvl>
  </w:abstractNum>
  <w:abstractNum w:abstractNumId="1" w15:restartNumberingAfterBreak="0">
    <w:nsid w:val="4BF122DB"/>
    <w:multiLevelType w:val="hybridMultilevel"/>
    <w:tmpl w:val="D8BC24A6"/>
    <w:lvl w:ilvl="0" w:tplc="7E8C25D2">
      <w:start w:val="1"/>
      <w:numFmt w:val="lowerRoman"/>
      <w:lvlText w:val="%1."/>
      <w:lvlJc w:val="left"/>
      <w:pPr>
        <w:ind w:left="1404" w:hanging="476"/>
        <w:jc w:val="right"/>
      </w:pPr>
      <w:rPr>
        <w:rFonts w:ascii="Times New Roman" w:eastAsia="Times New Roman" w:hAnsi="Times New Roman" w:cs="Times New Roman" w:hint="default"/>
        <w:spacing w:val="0"/>
        <w:w w:val="100"/>
        <w:sz w:val="22"/>
        <w:szCs w:val="22"/>
        <w:lang w:val="en-CA" w:eastAsia="en-CA" w:bidi="en-CA"/>
      </w:rPr>
    </w:lvl>
    <w:lvl w:ilvl="1" w:tplc="5FC4402E">
      <w:numFmt w:val="bullet"/>
      <w:lvlText w:val=""/>
      <w:lvlJc w:val="left"/>
      <w:pPr>
        <w:ind w:left="2321" w:hanging="360"/>
      </w:pPr>
      <w:rPr>
        <w:rFonts w:ascii="Symbol" w:eastAsia="Symbol" w:hAnsi="Symbol" w:cs="Symbol" w:hint="default"/>
        <w:w w:val="100"/>
        <w:sz w:val="22"/>
        <w:szCs w:val="22"/>
        <w:lang w:val="en-CA" w:eastAsia="en-CA" w:bidi="en-CA"/>
      </w:rPr>
    </w:lvl>
    <w:lvl w:ilvl="2" w:tplc="82463046">
      <w:numFmt w:val="bullet"/>
      <w:lvlText w:val="•"/>
      <w:lvlJc w:val="left"/>
      <w:pPr>
        <w:ind w:left="3208" w:hanging="360"/>
      </w:pPr>
      <w:rPr>
        <w:rFonts w:hint="default"/>
        <w:lang w:val="en-CA" w:eastAsia="en-CA" w:bidi="en-CA"/>
      </w:rPr>
    </w:lvl>
    <w:lvl w:ilvl="3" w:tplc="656EC8E4">
      <w:numFmt w:val="bullet"/>
      <w:lvlText w:val="•"/>
      <w:lvlJc w:val="left"/>
      <w:pPr>
        <w:ind w:left="4097" w:hanging="360"/>
      </w:pPr>
      <w:rPr>
        <w:rFonts w:hint="default"/>
        <w:lang w:val="en-CA" w:eastAsia="en-CA" w:bidi="en-CA"/>
      </w:rPr>
    </w:lvl>
    <w:lvl w:ilvl="4" w:tplc="599A02C8">
      <w:numFmt w:val="bullet"/>
      <w:lvlText w:val="•"/>
      <w:lvlJc w:val="left"/>
      <w:pPr>
        <w:ind w:left="4986" w:hanging="360"/>
      </w:pPr>
      <w:rPr>
        <w:rFonts w:hint="default"/>
        <w:lang w:val="en-CA" w:eastAsia="en-CA" w:bidi="en-CA"/>
      </w:rPr>
    </w:lvl>
    <w:lvl w:ilvl="5" w:tplc="34D41662">
      <w:numFmt w:val="bullet"/>
      <w:lvlText w:val="•"/>
      <w:lvlJc w:val="left"/>
      <w:pPr>
        <w:ind w:left="5875" w:hanging="360"/>
      </w:pPr>
      <w:rPr>
        <w:rFonts w:hint="default"/>
        <w:lang w:val="en-CA" w:eastAsia="en-CA" w:bidi="en-CA"/>
      </w:rPr>
    </w:lvl>
    <w:lvl w:ilvl="6" w:tplc="FECA5992">
      <w:numFmt w:val="bullet"/>
      <w:lvlText w:val="•"/>
      <w:lvlJc w:val="left"/>
      <w:pPr>
        <w:ind w:left="6764" w:hanging="360"/>
      </w:pPr>
      <w:rPr>
        <w:rFonts w:hint="default"/>
        <w:lang w:val="en-CA" w:eastAsia="en-CA" w:bidi="en-CA"/>
      </w:rPr>
    </w:lvl>
    <w:lvl w:ilvl="7" w:tplc="CA5EF96C">
      <w:numFmt w:val="bullet"/>
      <w:lvlText w:val="•"/>
      <w:lvlJc w:val="left"/>
      <w:pPr>
        <w:ind w:left="7653" w:hanging="360"/>
      </w:pPr>
      <w:rPr>
        <w:rFonts w:hint="default"/>
        <w:lang w:val="en-CA" w:eastAsia="en-CA" w:bidi="en-CA"/>
      </w:rPr>
    </w:lvl>
    <w:lvl w:ilvl="8" w:tplc="48FA1F7C">
      <w:numFmt w:val="bullet"/>
      <w:lvlText w:val="•"/>
      <w:lvlJc w:val="left"/>
      <w:pPr>
        <w:ind w:left="8542" w:hanging="360"/>
      </w:pPr>
      <w:rPr>
        <w:rFonts w:hint="default"/>
        <w:lang w:val="en-CA" w:eastAsia="en-CA" w:bidi="en-CA"/>
      </w:rPr>
    </w:lvl>
  </w:abstractNum>
  <w:abstractNum w:abstractNumId="2" w15:restartNumberingAfterBreak="0">
    <w:nsid w:val="6859747D"/>
    <w:multiLevelType w:val="hybridMultilevel"/>
    <w:tmpl w:val="3B220A08"/>
    <w:lvl w:ilvl="0" w:tplc="57667550">
      <w:numFmt w:val="bullet"/>
      <w:lvlText w:val=""/>
      <w:lvlJc w:val="left"/>
      <w:pPr>
        <w:ind w:left="821" w:hanging="360"/>
      </w:pPr>
      <w:rPr>
        <w:rFonts w:ascii="Wingdings" w:eastAsia="Wingdings" w:hAnsi="Wingdings" w:cs="Wingdings" w:hint="default"/>
        <w:w w:val="98"/>
        <w:sz w:val="20"/>
        <w:szCs w:val="20"/>
        <w:lang w:val="en-CA" w:eastAsia="en-CA" w:bidi="en-CA"/>
      </w:rPr>
    </w:lvl>
    <w:lvl w:ilvl="1" w:tplc="F996900E">
      <w:numFmt w:val="bullet"/>
      <w:lvlText w:val="o"/>
      <w:lvlJc w:val="left"/>
      <w:pPr>
        <w:ind w:left="1541" w:hanging="360"/>
      </w:pPr>
      <w:rPr>
        <w:rFonts w:ascii="Courier New" w:eastAsia="Courier New" w:hAnsi="Courier New" w:cs="Courier New" w:hint="default"/>
        <w:w w:val="97"/>
        <w:sz w:val="20"/>
        <w:szCs w:val="20"/>
        <w:lang w:val="en-CA" w:eastAsia="en-CA" w:bidi="en-CA"/>
      </w:rPr>
    </w:lvl>
    <w:lvl w:ilvl="2" w:tplc="E41ECFE8">
      <w:numFmt w:val="bullet"/>
      <w:lvlText w:val="•"/>
      <w:lvlJc w:val="left"/>
      <w:pPr>
        <w:ind w:left="2515" w:hanging="360"/>
      </w:pPr>
      <w:rPr>
        <w:rFonts w:hint="default"/>
        <w:lang w:val="en-CA" w:eastAsia="en-CA" w:bidi="en-CA"/>
      </w:rPr>
    </w:lvl>
    <w:lvl w:ilvl="3" w:tplc="7EC8301E">
      <w:numFmt w:val="bullet"/>
      <w:lvlText w:val="•"/>
      <w:lvlJc w:val="left"/>
      <w:pPr>
        <w:ind w:left="3491" w:hanging="360"/>
      </w:pPr>
      <w:rPr>
        <w:rFonts w:hint="default"/>
        <w:lang w:val="en-CA" w:eastAsia="en-CA" w:bidi="en-CA"/>
      </w:rPr>
    </w:lvl>
    <w:lvl w:ilvl="4" w:tplc="7BDC36E4">
      <w:numFmt w:val="bullet"/>
      <w:lvlText w:val="•"/>
      <w:lvlJc w:val="left"/>
      <w:pPr>
        <w:ind w:left="4466" w:hanging="360"/>
      </w:pPr>
      <w:rPr>
        <w:rFonts w:hint="default"/>
        <w:lang w:val="en-CA" w:eastAsia="en-CA" w:bidi="en-CA"/>
      </w:rPr>
    </w:lvl>
    <w:lvl w:ilvl="5" w:tplc="3692E416">
      <w:numFmt w:val="bullet"/>
      <w:lvlText w:val="•"/>
      <w:lvlJc w:val="left"/>
      <w:pPr>
        <w:ind w:left="5442" w:hanging="360"/>
      </w:pPr>
      <w:rPr>
        <w:rFonts w:hint="default"/>
        <w:lang w:val="en-CA" w:eastAsia="en-CA" w:bidi="en-CA"/>
      </w:rPr>
    </w:lvl>
    <w:lvl w:ilvl="6" w:tplc="CA8C0EA6">
      <w:numFmt w:val="bullet"/>
      <w:lvlText w:val="•"/>
      <w:lvlJc w:val="left"/>
      <w:pPr>
        <w:ind w:left="6417" w:hanging="360"/>
      </w:pPr>
      <w:rPr>
        <w:rFonts w:hint="default"/>
        <w:lang w:val="en-CA" w:eastAsia="en-CA" w:bidi="en-CA"/>
      </w:rPr>
    </w:lvl>
    <w:lvl w:ilvl="7" w:tplc="4AAC1624">
      <w:numFmt w:val="bullet"/>
      <w:lvlText w:val="•"/>
      <w:lvlJc w:val="left"/>
      <w:pPr>
        <w:ind w:left="7393" w:hanging="360"/>
      </w:pPr>
      <w:rPr>
        <w:rFonts w:hint="default"/>
        <w:lang w:val="en-CA" w:eastAsia="en-CA" w:bidi="en-CA"/>
      </w:rPr>
    </w:lvl>
    <w:lvl w:ilvl="8" w:tplc="AAFE6152">
      <w:numFmt w:val="bullet"/>
      <w:lvlText w:val="•"/>
      <w:lvlJc w:val="left"/>
      <w:pPr>
        <w:ind w:left="8368" w:hanging="360"/>
      </w:pPr>
      <w:rPr>
        <w:rFonts w:hint="default"/>
        <w:lang w:val="en-CA" w:eastAsia="en-CA" w:bidi="en-CA"/>
      </w:rPr>
    </w:lvl>
  </w:abstractNum>
  <w:abstractNum w:abstractNumId="3" w15:restartNumberingAfterBreak="0">
    <w:nsid w:val="706111A2"/>
    <w:multiLevelType w:val="hybridMultilevel"/>
    <w:tmpl w:val="523C1CD6"/>
    <w:lvl w:ilvl="0" w:tplc="87F6858E">
      <w:numFmt w:val="bullet"/>
      <w:lvlText w:val=""/>
      <w:lvlJc w:val="left"/>
      <w:pPr>
        <w:ind w:left="1044" w:hanging="360"/>
      </w:pPr>
      <w:rPr>
        <w:rFonts w:ascii="Symbol" w:eastAsia="Symbol" w:hAnsi="Symbol" w:cs="Symbol" w:hint="default"/>
        <w:w w:val="100"/>
        <w:sz w:val="22"/>
        <w:szCs w:val="22"/>
        <w:lang w:val="en-CA" w:eastAsia="en-CA" w:bidi="en-CA"/>
      </w:rPr>
    </w:lvl>
    <w:lvl w:ilvl="1" w:tplc="238653F4">
      <w:numFmt w:val="bullet"/>
      <w:lvlText w:val="•"/>
      <w:lvlJc w:val="left"/>
      <w:pPr>
        <w:ind w:left="1968" w:hanging="360"/>
      </w:pPr>
      <w:rPr>
        <w:rFonts w:hint="default"/>
        <w:lang w:val="en-CA" w:eastAsia="en-CA" w:bidi="en-CA"/>
      </w:rPr>
    </w:lvl>
    <w:lvl w:ilvl="2" w:tplc="485A3562">
      <w:numFmt w:val="bullet"/>
      <w:lvlText w:val="•"/>
      <w:lvlJc w:val="left"/>
      <w:pPr>
        <w:ind w:left="2896" w:hanging="360"/>
      </w:pPr>
      <w:rPr>
        <w:rFonts w:hint="default"/>
        <w:lang w:val="en-CA" w:eastAsia="en-CA" w:bidi="en-CA"/>
      </w:rPr>
    </w:lvl>
    <w:lvl w:ilvl="3" w:tplc="387423DC">
      <w:numFmt w:val="bullet"/>
      <w:lvlText w:val="•"/>
      <w:lvlJc w:val="left"/>
      <w:pPr>
        <w:ind w:left="3824" w:hanging="360"/>
      </w:pPr>
      <w:rPr>
        <w:rFonts w:hint="default"/>
        <w:lang w:val="en-CA" w:eastAsia="en-CA" w:bidi="en-CA"/>
      </w:rPr>
    </w:lvl>
    <w:lvl w:ilvl="4" w:tplc="0AA47E22">
      <w:numFmt w:val="bullet"/>
      <w:lvlText w:val="•"/>
      <w:lvlJc w:val="left"/>
      <w:pPr>
        <w:ind w:left="4752" w:hanging="360"/>
      </w:pPr>
      <w:rPr>
        <w:rFonts w:hint="default"/>
        <w:lang w:val="en-CA" w:eastAsia="en-CA" w:bidi="en-CA"/>
      </w:rPr>
    </w:lvl>
    <w:lvl w:ilvl="5" w:tplc="50505D46">
      <w:numFmt w:val="bullet"/>
      <w:lvlText w:val="•"/>
      <w:lvlJc w:val="left"/>
      <w:pPr>
        <w:ind w:left="5680" w:hanging="360"/>
      </w:pPr>
      <w:rPr>
        <w:rFonts w:hint="default"/>
        <w:lang w:val="en-CA" w:eastAsia="en-CA" w:bidi="en-CA"/>
      </w:rPr>
    </w:lvl>
    <w:lvl w:ilvl="6" w:tplc="9F005416">
      <w:numFmt w:val="bullet"/>
      <w:lvlText w:val="•"/>
      <w:lvlJc w:val="left"/>
      <w:pPr>
        <w:ind w:left="6608" w:hanging="360"/>
      </w:pPr>
      <w:rPr>
        <w:rFonts w:hint="default"/>
        <w:lang w:val="en-CA" w:eastAsia="en-CA" w:bidi="en-CA"/>
      </w:rPr>
    </w:lvl>
    <w:lvl w:ilvl="7" w:tplc="640C9E06">
      <w:numFmt w:val="bullet"/>
      <w:lvlText w:val="•"/>
      <w:lvlJc w:val="left"/>
      <w:pPr>
        <w:ind w:left="7536" w:hanging="360"/>
      </w:pPr>
      <w:rPr>
        <w:rFonts w:hint="default"/>
        <w:lang w:val="en-CA" w:eastAsia="en-CA" w:bidi="en-CA"/>
      </w:rPr>
    </w:lvl>
    <w:lvl w:ilvl="8" w:tplc="B6B26F5C">
      <w:numFmt w:val="bullet"/>
      <w:lvlText w:val="•"/>
      <w:lvlJc w:val="left"/>
      <w:pPr>
        <w:ind w:left="8464" w:hanging="360"/>
      </w:pPr>
      <w:rPr>
        <w:rFonts w:hint="default"/>
        <w:lang w:val="en-CA" w:eastAsia="en-CA" w:bidi="en-CA"/>
      </w:rPr>
    </w:lvl>
  </w:abstractNum>
  <w:num w:numId="1" w16cid:durableId="562106539">
    <w:abstractNumId w:val="1"/>
  </w:num>
  <w:num w:numId="2" w16cid:durableId="1026056031">
    <w:abstractNumId w:val="0"/>
  </w:num>
  <w:num w:numId="3" w16cid:durableId="1228145488">
    <w:abstractNumId w:val="2"/>
  </w:num>
  <w:num w:numId="4" w16cid:durableId="1501115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6B"/>
    <w:rsid w:val="000D106B"/>
    <w:rsid w:val="00126625"/>
    <w:rsid w:val="002168D1"/>
    <w:rsid w:val="00270EEC"/>
    <w:rsid w:val="005430FB"/>
    <w:rsid w:val="005D7D0E"/>
    <w:rsid w:val="006D10BF"/>
    <w:rsid w:val="00813F3C"/>
    <w:rsid w:val="00CC51DE"/>
    <w:rsid w:val="00EC2383"/>
    <w:rsid w:val="00EE56C6"/>
    <w:rsid w:val="00FF4F81"/>
    <w:rsid w:val="04CEB6EC"/>
    <w:rsid w:val="05AA90C8"/>
    <w:rsid w:val="1794697D"/>
    <w:rsid w:val="1BC13490"/>
    <w:rsid w:val="1DA48452"/>
    <w:rsid w:val="1EB017AD"/>
    <w:rsid w:val="2021E982"/>
    <w:rsid w:val="2214D27E"/>
    <w:rsid w:val="26E73C97"/>
    <w:rsid w:val="271DC380"/>
    <w:rsid w:val="2743ECE0"/>
    <w:rsid w:val="2782E981"/>
    <w:rsid w:val="28A2BB3F"/>
    <w:rsid w:val="2A3288A6"/>
    <w:rsid w:val="2E513FD3"/>
    <w:rsid w:val="321C36AA"/>
    <w:rsid w:val="3A46AF01"/>
    <w:rsid w:val="3A90E81E"/>
    <w:rsid w:val="489314D7"/>
    <w:rsid w:val="49C5D79C"/>
    <w:rsid w:val="55D9C11A"/>
    <w:rsid w:val="57F40EBE"/>
    <w:rsid w:val="59A83B8D"/>
    <w:rsid w:val="6085A12A"/>
    <w:rsid w:val="67883B34"/>
    <w:rsid w:val="6A895092"/>
    <w:rsid w:val="6C216D6B"/>
    <w:rsid w:val="6C232423"/>
    <w:rsid w:val="6F915239"/>
    <w:rsid w:val="74CB1FDA"/>
    <w:rsid w:val="7536A118"/>
    <w:rsid w:val="762581EF"/>
    <w:rsid w:val="784A6274"/>
    <w:rsid w:val="7C7C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AEB62E"/>
  <w15:docId w15:val="{4DB51DF0-A563-435F-BB24-4EE83ABA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ind w:left="821"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spacing w:line="266" w:lineRule="exact"/>
      <w:ind w:left="114"/>
    </w:pPr>
    <w:rPr>
      <w:rFonts w:ascii="Arial Narrow" w:eastAsia="Arial Narrow" w:hAnsi="Arial Narrow" w:cs="Arial Narrow"/>
    </w:rPr>
  </w:style>
  <w:style w:type="character" w:styleId="Hyperlink">
    <w:name w:val="Hyperlink"/>
    <w:basedOn w:val="DefaultParagraphFont"/>
    <w:uiPriority w:val="99"/>
    <w:unhideWhenUsed/>
    <w:rsid w:val="00CC51DE"/>
    <w:rPr>
      <w:color w:val="0000FF" w:themeColor="hyperlink"/>
      <w:u w:val="single"/>
    </w:rPr>
  </w:style>
  <w:style w:type="character" w:styleId="UnresolvedMention">
    <w:name w:val="Unresolved Mention"/>
    <w:basedOn w:val="DefaultParagraphFont"/>
    <w:uiPriority w:val="99"/>
    <w:semiHidden/>
    <w:unhideWhenUsed/>
    <w:rsid w:val="00CC5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cpay@mcmaster.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ial-affairs.mcmaster.ca/app/uploads/2018/11/Guideline-for-charging-interest-on-non-student-Accounts-Receivable.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CASH CONTROL POLICY- FINAL MARCH 2009.doc</vt:lpstr>
    </vt:vector>
  </TitlesOfParts>
  <Company>McMaster University</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CASH CONTROL POLICY- FINAL MARCH 2009.doc</dc:title>
  <dc:creator>kishimo</dc:creator>
  <cp:lastModifiedBy>Monson, Rachel</cp:lastModifiedBy>
  <cp:revision>6</cp:revision>
  <dcterms:created xsi:type="dcterms:W3CDTF">2023-06-21T17:44:00Z</dcterms:created>
  <dcterms:modified xsi:type="dcterms:W3CDTF">2023-06-21T18:44:00Z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for Office 365</vt:lpwstr>
  </property>
  <property fmtid="{D5CDD505-2E9C-101B-9397-08002B2CF9AE}" pid="4" name="LastSaved">
    <vt:filetime>2020-07-16T00:00:00Z</vt:filetime>
  </property>
</Properties>
</file>